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华文中宋" w:hAnsi="华文中宋" w:eastAsia="华文中宋" w:cs="Times New Roman"/>
          <w:b/>
          <w:sz w:val="32"/>
          <w:szCs w:val="32"/>
          <w:lang w:val="en-US" w:eastAsia="zh-CN"/>
        </w:rPr>
      </w:pPr>
      <w:r>
        <w:rPr>
          <w:rFonts w:hint="eastAsia" w:ascii="仿宋_GB2312" w:hAnsi="等线" w:eastAsia="仿宋_GB2312" w:cs="Times New Roman"/>
          <w:sz w:val="32"/>
          <w:szCs w:val="32"/>
          <w:lang w:val="en-US" w:eastAsia="zh-CN"/>
        </w:rPr>
        <w:t>附件3：</w:t>
      </w:r>
    </w:p>
    <w:p>
      <w:pPr>
        <w:widowControl/>
        <w:shd w:val="clear" w:color="auto" w:fill="FFFFFF"/>
        <w:spacing w:before="0" w:beforeAutospacing="0" w:after="168" w:afterAutospacing="0" w:line="17" w:lineRule="atLeast"/>
        <w:ind w:firstLine="1006" w:firstLineChars="300"/>
        <w:jc w:val="left"/>
        <w:outlineLvl w:val="1"/>
        <w:rPr>
          <w:rFonts w:hint="eastAsia" w:ascii="仿宋" w:hAnsi="仿宋" w:eastAsia="仿宋" w:cs="仿宋"/>
          <w:b/>
          <w:color w:val="000000"/>
          <w:spacing w:val="7"/>
          <w:kern w:val="0"/>
          <w:sz w:val="32"/>
          <w:szCs w:val="32"/>
          <w:shd w:val="clear" w:color="auto" w:fill="FFFFFF"/>
          <w:lang w:val="en-US" w:eastAsia="zh-CN" w:bidi="ar"/>
        </w:rPr>
      </w:pPr>
      <w:r>
        <w:rPr>
          <w:rFonts w:hint="eastAsia" w:ascii="仿宋" w:hAnsi="仿宋" w:eastAsia="仿宋" w:cs="仿宋"/>
          <w:b/>
          <w:color w:val="000000"/>
          <w:spacing w:val="7"/>
          <w:kern w:val="0"/>
          <w:sz w:val="32"/>
          <w:szCs w:val="32"/>
          <w:shd w:val="clear" w:color="auto" w:fill="FFFFFF"/>
          <w:lang w:val="en-US" w:eastAsia="zh-CN" w:bidi="ar"/>
        </w:rPr>
        <w:t>第十五届“中</w:t>
      </w:r>
      <w:bookmarkStart w:id="3" w:name="_GoBack"/>
      <w:bookmarkEnd w:id="3"/>
      <w:r>
        <w:rPr>
          <w:rFonts w:hint="eastAsia" w:ascii="仿宋" w:hAnsi="仿宋" w:eastAsia="仿宋" w:cs="仿宋"/>
          <w:b/>
          <w:color w:val="000000"/>
          <w:spacing w:val="7"/>
          <w:kern w:val="0"/>
          <w:sz w:val="32"/>
          <w:szCs w:val="32"/>
          <w:shd w:val="clear" w:color="auto" w:fill="FFFFFF"/>
          <w:lang w:val="en-US" w:eastAsia="zh-CN" w:bidi="ar"/>
        </w:rPr>
        <w:t>国大学生年度人物”入围候选人</w:t>
      </w:r>
    </w:p>
    <w:p>
      <w:pPr>
        <w:widowControl w:val="0"/>
        <w:tabs>
          <w:tab w:val="right" w:leader="dot" w:pos="8296"/>
        </w:tabs>
        <w:spacing w:line="360" w:lineRule="auto"/>
        <w:ind w:left="0" w:leftChars="0"/>
        <w:jc w:val="both"/>
        <w:rPr>
          <w:rFonts w:ascii="仿宋" w:hAnsi="仿宋" w:eastAsia="仿宋" w:cs="Times New Roman"/>
          <w:kern w:val="2"/>
          <w:sz w:val="24"/>
          <w:szCs w:val="22"/>
          <w:lang w:val="en-US" w:eastAsia="zh-CN" w:bidi="ar-SA"/>
        </w:rPr>
      </w:pPr>
      <w:r>
        <w:rPr>
          <w:rFonts w:ascii="等线" w:hAnsi="等线" w:eastAsia="等线" w:cs="Times New Roman"/>
          <w:kern w:val="2"/>
          <w:sz w:val="21"/>
          <w:szCs w:val="22"/>
          <w:lang w:val="en-US" w:eastAsia="zh-CN" w:bidi="ar-SA"/>
        </w:rPr>
        <w:fldChar w:fldCharType="begin"/>
      </w:r>
      <w:r>
        <w:rPr>
          <w:rFonts w:ascii="等线" w:hAnsi="等线" w:eastAsia="等线" w:cs="Times New Roman"/>
          <w:kern w:val="2"/>
          <w:sz w:val="21"/>
          <w:szCs w:val="22"/>
          <w:lang w:val="en-US" w:eastAsia="zh-CN" w:bidi="ar-SA"/>
        </w:rPr>
        <w:instrText xml:space="preserve"> TOC \o "1-3" \h \z \u </w:instrText>
      </w:r>
      <w:r>
        <w:rPr>
          <w:rFonts w:ascii="等线" w:hAnsi="等线" w:eastAsia="等线" w:cs="Times New Roman"/>
          <w:kern w:val="2"/>
          <w:sz w:val="21"/>
          <w:szCs w:val="22"/>
          <w:lang w:val="en-US" w:eastAsia="zh-CN" w:bidi="ar-SA"/>
        </w:rPr>
        <w:fldChar w:fldCharType="separate"/>
      </w: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"_Toc54171076"</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宋体"/>
          <w:b/>
          <w:color w:val="0000FF"/>
          <w:kern w:val="2"/>
          <w:sz w:val="24"/>
          <w:szCs w:val="22"/>
          <w:u w:val="single"/>
          <w:lang w:val="en-US" w:eastAsia="zh-CN" w:bidi="ar-SA"/>
        </w:rPr>
        <w:t>中国海洋大学</w:t>
      </w:r>
      <w:r>
        <w:rPr>
          <w:rFonts w:ascii="仿宋" w:hAnsi="仿宋" w:eastAsia="仿宋" w:cs="宋体"/>
          <w:b/>
          <w:color w:val="0000FF"/>
          <w:kern w:val="2"/>
          <w:sz w:val="24"/>
          <w:szCs w:val="22"/>
          <w:u w:val="single"/>
          <w:lang w:val="en-US" w:eastAsia="zh-CN" w:bidi="ar-SA"/>
        </w:rPr>
        <w:t xml:space="preserve"> </w:t>
      </w:r>
      <w:r>
        <w:rPr>
          <w:rFonts w:hint="eastAsia" w:ascii="仿宋" w:hAnsi="仿宋" w:eastAsia="仿宋" w:cs="宋体"/>
          <w:b/>
          <w:color w:val="0000FF"/>
          <w:kern w:val="2"/>
          <w:sz w:val="24"/>
          <w:szCs w:val="22"/>
          <w:u w:val="single"/>
          <w:lang w:val="en-US" w:eastAsia="zh-CN" w:bidi="ar-SA"/>
        </w:rPr>
        <w:t>马贝</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_Toc54171076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"_Toc54171077"</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南开大学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卢彪</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_Toc54171077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3</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"_Toc54171078"</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抚顺职业技术学院</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兰郡泽</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_Toc54171078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5</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"_Toc54171079"</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河南农业大学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宋体"/>
          <w:b/>
          <w:color w:val="0000FF"/>
          <w:spacing w:val="7"/>
          <w:kern w:val="2"/>
          <w:sz w:val="24"/>
          <w:szCs w:val="22"/>
          <w:u w:val="single"/>
          <w:shd w:val="clear" w:color="auto" w:fill="FFFFFF"/>
          <w:lang w:val="en-US" w:eastAsia="zh-CN" w:bidi="ar-SA"/>
        </w:rPr>
        <w:t>吕伟增</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_Toc54171079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7</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"_Toc54171080"</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山西医科大学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乔军</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_Toc54171080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9</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"_Toc54171081"</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南昌航空大学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刘书强</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_Toc54171081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11</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"_Toc54171082"</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西昌学院</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刘兴</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_Toc54171082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12</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"_Toc54171083"</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黔南民族职业技术学院</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刘道敏</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_Toc54171083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13</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"_Toc54171084"</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浙江大学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孙书剑</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_Toc54171084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14</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"_Toc54171085"</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宋体"/>
          <w:b/>
          <w:color w:val="0000FF"/>
          <w:kern w:val="2"/>
          <w:sz w:val="24"/>
          <w:szCs w:val="22"/>
          <w:u w:val="single"/>
          <w:lang w:val="en-US" w:eastAsia="zh-CN" w:bidi="ar-SA"/>
        </w:rPr>
        <w:t>武汉理工大学</w:t>
      </w:r>
      <w:r>
        <w:rPr>
          <w:rFonts w:ascii="仿宋" w:hAnsi="仿宋" w:eastAsia="仿宋" w:cs="宋体"/>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麦麦提艾力江·阿卜杜艾尼</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_Toc54171085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16</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"_Toc54171086"</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中山大学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杨兵</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_Toc54171086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17</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"_Toc54171087"</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华东理工大学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杨孟平</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_Toc54171087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19</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"_Toc54171088"</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
        </w:rPr>
        <w:t>南通大学</w:t>
      </w:r>
      <w:r>
        <w:rPr>
          <w:rFonts w:ascii="仿宋" w:hAnsi="仿宋" w:eastAsia="仿宋" w:cs="Times New Roman"/>
          <w:b/>
          <w:color w:val="0000FF"/>
          <w:kern w:val="2"/>
          <w:sz w:val="24"/>
          <w:szCs w:val="22"/>
          <w:u w:val="single"/>
          <w:lang w:val="en-US" w:eastAsia="zh-CN" w:bidi="ar"/>
        </w:rPr>
        <w:t xml:space="preserve"> </w:t>
      </w:r>
      <w:r>
        <w:rPr>
          <w:rFonts w:hint="eastAsia" w:ascii="仿宋" w:hAnsi="仿宋" w:eastAsia="仿宋" w:cs="Times New Roman"/>
          <w:b/>
          <w:color w:val="0000FF"/>
          <w:kern w:val="2"/>
          <w:sz w:val="24"/>
          <w:szCs w:val="22"/>
          <w:u w:val="single"/>
          <w:lang w:val="en-US" w:eastAsia="zh-CN" w:bidi="ar"/>
        </w:rPr>
        <w:t>吴英成</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_Toc54171088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21</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"_Toc54171089"</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长江理工大学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Times New Roman"/>
          <w:b/>
          <w:color w:val="0000FF"/>
          <w:kern w:val="2"/>
          <w:sz w:val="24"/>
          <w:szCs w:val="22"/>
          <w:u w:val="single"/>
          <w:lang w:val="en-US" w:eastAsia="zh-CN" w:bidi="ar-SA"/>
        </w:rPr>
        <w:t>邹勇松</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_Toc54171089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23</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"_Toc54171090"</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
        </w:rPr>
        <w:t>西安交通大学</w:t>
      </w:r>
      <w:r>
        <w:rPr>
          <w:rFonts w:ascii="仿宋" w:hAnsi="仿宋" w:eastAsia="仿宋" w:cs="Times New Roman"/>
          <w:b/>
          <w:color w:val="0000FF"/>
          <w:kern w:val="2"/>
          <w:sz w:val="24"/>
          <w:szCs w:val="22"/>
          <w:u w:val="single"/>
          <w:lang w:val="en-US" w:eastAsia="zh-CN" w:bidi="ar"/>
        </w:rPr>
        <w:t xml:space="preserve"> </w:t>
      </w:r>
      <w:r>
        <w:rPr>
          <w:rFonts w:hint="eastAsia" w:ascii="仿宋" w:hAnsi="仿宋" w:eastAsia="仿宋" w:cs="Times New Roman"/>
          <w:b/>
          <w:color w:val="0000FF"/>
          <w:kern w:val="2"/>
          <w:sz w:val="24"/>
          <w:szCs w:val="22"/>
          <w:u w:val="single"/>
          <w:lang w:val="en-US" w:eastAsia="zh-CN" w:bidi="ar"/>
        </w:rPr>
        <w:t>宋思扬</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_Toc54171090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26</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"_Toc54171091"</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
        </w:rPr>
        <w:t>长春师范大学</w:t>
      </w:r>
      <w:r>
        <w:rPr>
          <w:rFonts w:ascii="仿宋" w:hAnsi="仿宋" w:eastAsia="仿宋" w:cs="Times New Roman"/>
          <w:b/>
          <w:color w:val="0000FF"/>
          <w:kern w:val="2"/>
          <w:sz w:val="24"/>
          <w:szCs w:val="22"/>
          <w:u w:val="single"/>
          <w:lang w:val="en-US" w:eastAsia="zh-CN" w:bidi="ar"/>
        </w:rPr>
        <w:t xml:space="preserve"> </w:t>
      </w:r>
      <w:r>
        <w:rPr>
          <w:rFonts w:hint="eastAsia" w:ascii="仿宋" w:hAnsi="仿宋" w:eastAsia="仿宋" w:cs="Times New Roman"/>
          <w:b/>
          <w:color w:val="0000FF"/>
          <w:kern w:val="2"/>
          <w:sz w:val="24"/>
          <w:szCs w:val="22"/>
          <w:u w:val="single"/>
          <w:lang w:val="en-US" w:eastAsia="zh-CN" w:bidi="ar"/>
        </w:rPr>
        <w:t>张庸</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_Toc54171091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28</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"_Toc54171092"</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
        </w:rPr>
        <w:t>华侨大学</w:t>
      </w:r>
      <w:r>
        <w:rPr>
          <w:rFonts w:ascii="仿宋" w:hAnsi="仿宋" w:eastAsia="仿宋" w:cs="Times New Roman"/>
          <w:b/>
          <w:color w:val="0000FF"/>
          <w:kern w:val="2"/>
          <w:sz w:val="24"/>
          <w:szCs w:val="22"/>
          <w:u w:val="single"/>
          <w:lang w:val="en-US" w:eastAsia="zh-CN" w:bidi="ar"/>
        </w:rPr>
        <w:t xml:space="preserve"> </w:t>
      </w:r>
      <w:r>
        <w:rPr>
          <w:rFonts w:hint="eastAsia" w:ascii="仿宋" w:hAnsi="仿宋" w:eastAsia="仿宋" w:cs="Times New Roman"/>
          <w:b/>
          <w:color w:val="0000FF"/>
          <w:kern w:val="2"/>
          <w:sz w:val="24"/>
          <w:szCs w:val="22"/>
          <w:u w:val="single"/>
          <w:lang w:val="en-US" w:eastAsia="zh-CN" w:bidi="ar"/>
        </w:rPr>
        <w:t>林克斌</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_Toc54171092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29</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"_Toc54171093"</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
        </w:rPr>
        <w:t>黄山职业技术学院</w:t>
      </w:r>
      <w:r>
        <w:rPr>
          <w:rFonts w:ascii="仿宋" w:hAnsi="仿宋" w:eastAsia="仿宋" w:cs="Times New Roman"/>
          <w:b/>
          <w:color w:val="0000FF"/>
          <w:kern w:val="2"/>
          <w:sz w:val="24"/>
          <w:szCs w:val="22"/>
          <w:u w:val="single"/>
          <w:lang w:val="en-US" w:eastAsia="zh-CN" w:bidi="ar"/>
        </w:rPr>
        <w:t xml:space="preserve"> </w:t>
      </w:r>
      <w:r>
        <w:rPr>
          <w:rFonts w:hint="eastAsia" w:ascii="仿宋" w:hAnsi="仿宋" w:eastAsia="仿宋" w:cs="Times New Roman"/>
          <w:b/>
          <w:color w:val="0000FF"/>
          <w:kern w:val="2"/>
          <w:sz w:val="24"/>
          <w:szCs w:val="22"/>
          <w:u w:val="single"/>
          <w:lang w:val="en-US" w:eastAsia="zh-CN" w:bidi="ar"/>
        </w:rPr>
        <w:t>郑权</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_Toc54171093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30</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仿宋" w:hAnsi="仿宋" w:eastAsia="仿宋" w:cs="Times New Roman"/>
          <w:kern w:val="2"/>
          <w:sz w:val="24"/>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"_Toc54171094"</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SA"/>
        </w:rPr>
        <w:t>北京大学</w:t>
      </w:r>
      <w:r>
        <w:rPr>
          <w:rFonts w:ascii="仿宋" w:hAnsi="仿宋" w:eastAsia="仿宋" w:cs="Times New Roman"/>
          <w:b/>
          <w:color w:val="0000FF"/>
          <w:kern w:val="2"/>
          <w:sz w:val="24"/>
          <w:szCs w:val="22"/>
          <w:u w:val="single"/>
          <w:lang w:val="en-US" w:eastAsia="zh-CN" w:bidi="ar-SA"/>
        </w:rPr>
        <w:t xml:space="preserve"> </w:t>
      </w:r>
      <w:r>
        <w:rPr>
          <w:rFonts w:hint="eastAsia" w:ascii="仿宋" w:hAnsi="仿宋" w:eastAsia="仿宋" w:cs="宋体"/>
          <w:b/>
          <w:color w:val="0000FF"/>
          <w:kern w:val="2"/>
          <w:sz w:val="24"/>
          <w:szCs w:val="22"/>
          <w:u w:val="single"/>
          <w:lang w:val="en-US" w:eastAsia="zh-CN" w:bidi="ar"/>
        </w:rPr>
        <w:t>董彦会</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_Toc54171094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32</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widowControl w:val="0"/>
        <w:tabs>
          <w:tab w:val="right" w:leader="dot" w:pos="8296"/>
        </w:tabs>
        <w:spacing w:line="360" w:lineRule="auto"/>
        <w:jc w:val="both"/>
        <w:rPr>
          <w:rFonts w:ascii="等线" w:hAnsi="等线" w:eastAsia="等线" w:cs="Times New Roman"/>
          <w:kern w:val="2"/>
          <w:sz w:val="21"/>
          <w:szCs w:val="22"/>
          <w:lang w:val="en-US" w:eastAsia="zh-CN" w:bidi="ar-SA"/>
        </w:rPr>
      </w:pPr>
      <w:r>
        <w:rPr>
          <w:rFonts w:ascii="仿宋" w:hAnsi="仿宋" w:eastAsia="仿宋" w:cs="Times New Roman"/>
          <w:color w:val="0000FF"/>
          <w:kern w:val="2"/>
          <w:sz w:val="24"/>
          <w:szCs w:val="22"/>
          <w:u w:val="single"/>
          <w:lang w:val="en-US" w:eastAsia="zh-CN" w:bidi="ar-SA"/>
        </w:rPr>
        <w:fldChar w:fldCharType="begin"/>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kern w:val="2"/>
          <w:sz w:val="24"/>
          <w:szCs w:val="22"/>
          <w:lang w:val="en-US" w:eastAsia="zh-CN" w:bidi="ar-SA"/>
        </w:rPr>
        <w:instrText xml:space="preserve">HYPERLINK \l "_Toc54171095"</w:instrText>
      </w:r>
      <w:r>
        <w:rPr>
          <w:rFonts w:ascii="仿宋" w:hAnsi="仿宋" w:eastAsia="仿宋" w:cs="Times New Roman"/>
          <w:color w:val="0000FF"/>
          <w:kern w:val="2"/>
          <w:sz w:val="24"/>
          <w:szCs w:val="22"/>
          <w:u w:val="single"/>
          <w:lang w:val="en-US" w:eastAsia="zh-CN" w:bidi="ar-SA"/>
        </w:rPr>
        <w:instrText xml:space="preserve"> </w:instrText>
      </w:r>
      <w:r>
        <w:rPr>
          <w:rFonts w:ascii="仿宋" w:hAnsi="仿宋" w:eastAsia="仿宋" w:cs="Times New Roman"/>
          <w:color w:val="0000FF"/>
          <w:kern w:val="2"/>
          <w:sz w:val="24"/>
          <w:szCs w:val="22"/>
          <w:u w:val="single"/>
          <w:lang w:val="en-US" w:eastAsia="zh-CN" w:bidi="ar-SA"/>
        </w:rPr>
        <w:fldChar w:fldCharType="separate"/>
      </w:r>
      <w:r>
        <w:rPr>
          <w:rFonts w:hint="eastAsia" w:ascii="仿宋" w:hAnsi="仿宋" w:eastAsia="仿宋" w:cs="Times New Roman"/>
          <w:b/>
          <w:color w:val="0000FF"/>
          <w:kern w:val="2"/>
          <w:sz w:val="24"/>
          <w:szCs w:val="22"/>
          <w:u w:val="single"/>
          <w:lang w:val="en-US" w:eastAsia="zh-CN" w:bidi="ar"/>
        </w:rPr>
        <w:t>燕山大学</w:t>
      </w:r>
      <w:r>
        <w:rPr>
          <w:rFonts w:ascii="仿宋" w:hAnsi="仿宋" w:eastAsia="仿宋" w:cs="Times New Roman"/>
          <w:b/>
          <w:color w:val="0000FF"/>
          <w:kern w:val="2"/>
          <w:sz w:val="24"/>
          <w:szCs w:val="22"/>
          <w:u w:val="single"/>
          <w:lang w:val="en-US" w:eastAsia="zh-CN" w:bidi="ar"/>
        </w:rPr>
        <w:t xml:space="preserve"> </w:t>
      </w:r>
      <w:r>
        <w:rPr>
          <w:rFonts w:hint="eastAsia" w:ascii="仿宋" w:hAnsi="仿宋" w:eastAsia="仿宋" w:cs="Times New Roman"/>
          <w:b/>
          <w:color w:val="0000FF"/>
          <w:kern w:val="2"/>
          <w:sz w:val="24"/>
          <w:szCs w:val="22"/>
          <w:u w:val="single"/>
          <w:lang w:val="en-US" w:eastAsia="zh-CN" w:bidi="ar"/>
        </w:rPr>
        <w:t>韩博</w:t>
      </w:r>
      <w:r>
        <w:rPr>
          <w:rFonts w:ascii="仿宋" w:hAnsi="仿宋" w:eastAsia="仿宋" w:cs="Times New Roman"/>
          <w:kern w:val="2"/>
          <w:sz w:val="24"/>
          <w:szCs w:val="22"/>
          <w:lang w:val="en-US" w:eastAsia="zh-CN" w:bidi="ar-SA"/>
        </w:rPr>
        <w:tab/>
      </w:r>
      <w:r>
        <w:rPr>
          <w:rFonts w:ascii="仿宋" w:hAnsi="仿宋" w:eastAsia="仿宋" w:cs="Times New Roman"/>
          <w:kern w:val="2"/>
          <w:sz w:val="24"/>
          <w:szCs w:val="22"/>
          <w:lang w:val="en-US" w:eastAsia="zh-CN" w:bidi="ar-SA"/>
        </w:rPr>
        <w:fldChar w:fldCharType="begin"/>
      </w:r>
      <w:r>
        <w:rPr>
          <w:rFonts w:ascii="仿宋" w:hAnsi="仿宋" w:eastAsia="仿宋" w:cs="Times New Roman"/>
          <w:kern w:val="2"/>
          <w:sz w:val="24"/>
          <w:szCs w:val="22"/>
          <w:lang w:val="en-US" w:eastAsia="zh-CN" w:bidi="ar-SA"/>
        </w:rPr>
        <w:instrText xml:space="preserve"> PAGEREF _Toc54171095 \h </w:instrText>
      </w:r>
      <w:r>
        <w:rPr>
          <w:rFonts w:ascii="仿宋" w:hAnsi="仿宋" w:eastAsia="仿宋" w:cs="Times New Roman"/>
          <w:kern w:val="2"/>
          <w:sz w:val="24"/>
          <w:szCs w:val="22"/>
          <w:lang w:val="en-US" w:eastAsia="zh-CN" w:bidi="ar-SA"/>
        </w:rPr>
        <w:fldChar w:fldCharType="separate"/>
      </w:r>
      <w:r>
        <w:rPr>
          <w:rFonts w:ascii="仿宋" w:hAnsi="仿宋" w:eastAsia="仿宋" w:cs="Times New Roman"/>
          <w:kern w:val="2"/>
          <w:sz w:val="24"/>
          <w:szCs w:val="22"/>
          <w:lang w:val="en-US" w:eastAsia="zh-CN" w:bidi="ar-SA"/>
        </w:rPr>
        <w:t>35</w:t>
      </w:r>
      <w:r>
        <w:rPr>
          <w:rFonts w:ascii="仿宋" w:hAnsi="仿宋" w:eastAsia="仿宋" w:cs="Times New Roman"/>
          <w:kern w:val="2"/>
          <w:sz w:val="24"/>
          <w:szCs w:val="22"/>
          <w:lang w:val="en-US" w:eastAsia="zh-CN" w:bidi="ar-SA"/>
        </w:rPr>
        <w:fldChar w:fldCharType="end"/>
      </w:r>
      <w:r>
        <w:rPr>
          <w:rFonts w:ascii="仿宋" w:hAnsi="仿宋" w:eastAsia="仿宋" w:cs="Times New Roman"/>
          <w:color w:val="0000FF"/>
          <w:kern w:val="2"/>
          <w:sz w:val="24"/>
          <w:szCs w:val="22"/>
          <w:u w:val="single"/>
          <w:lang w:val="en-US" w:eastAsia="zh-CN" w:bidi="ar-SA"/>
        </w:rPr>
        <w:fldChar w:fldCharType="end"/>
      </w:r>
    </w:p>
    <w:p>
      <w:pPr>
        <w:rPr>
          <w:rFonts w:ascii="等线" w:hAnsi="等线" w:eastAsia="等线" w:cs="Times New Roman"/>
        </w:rPr>
      </w:pPr>
      <w:r>
        <w:rPr>
          <w:rFonts w:ascii="等线" w:hAnsi="等线" w:eastAsia="等线" w:cs="Times New Roman"/>
        </w:rPr>
        <w:fldChar w:fldCharType="end"/>
      </w:r>
    </w:p>
    <w:p>
      <w:pPr>
        <w:keepNext/>
        <w:keepLines/>
        <w:widowControl w:val="0"/>
        <w:spacing w:before="340" w:after="330" w:line="578" w:lineRule="auto"/>
        <w:jc w:val="center"/>
        <w:outlineLvl w:val="0"/>
        <w:rPr>
          <w:rFonts w:ascii="宋体" w:hAnsi="宋体" w:eastAsia="等线" w:cs="宋体"/>
          <w:b/>
          <w:bCs/>
          <w:kern w:val="44"/>
          <w:sz w:val="32"/>
          <w:szCs w:val="44"/>
          <w:lang w:val="en-US" w:eastAsia="zh-CN" w:bidi="ar-SA"/>
        </w:rPr>
      </w:pPr>
      <w:bookmarkStart w:id="0" w:name="_Toc54171076"/>
      <w:r>
        <w:rPr>
          <w:rFonts w:ascii="宋体" w:hAnsi="宋体" w:eastAsia="等线" w:cs="宋体"/>
          <w:b/>
          <w:bCs/>
          <w:kern w:val="44"/>
          <w:sz w:val="30"/>
          <w:szCs w:val="30"/>
          <w:lang w:val="en-US" w:eastAsia="zh-CN" w:bidi="ar-SA"/>
        </w:rPr>
        <w:br w:type="page"/>
      </w:r>
      <w:r>
        <w:rPr>
          <w:rFonts w:hint="eastAsia" w:ascii="宋体" w:hAnsi="宋体" w:eastAsia="等线" w:cs="宋体"/>
          <w:b/>
          <w:bCs/>
          <w:kern w:val="44"/>
          <w:sz w:val="30"/>
          <w:szCs w:val="30"/>
          <w:lang w:val="en-US" w:eastAsia="zh-CN" w:bidi="ar-SA"/>
        </w:rPr>
        <w:t xml:space="preserve">中国海洋大学 </w:t>
      </w:r>
      <w:r>
        <w:rPr>
          <w:rFonts w:ascii="宋体" w:hAnsi="宋体" w:eastAsia="等线" w:cs="宋体"/>
          <w:b/>
          <w:bCs/>
          <w:kern w:val="44"/>
          <w:sz w:val="30"/>
          <w:szCs w:val="30"/>
          <w:lang w:val="en-US" w:eastAsia="zh-CN" w:bidi="ar-SA"/>
        </w:rPr>
        <w:t>马贝</w:t>
      </w:r>
      <w:bookmarkEnd w:id="0"/>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ascii="宋体" w:hAnsi="宋体" w:eastAsia="等线" w:cs="宋体"/>
          <w:b/>
          <w:kern w:val="0"/>
          <w:sz w:val="24"/>
          <w:szCs w:val="22"/>
          <w:lang w:val="en-US" w:eastAsia="zh-CN" w:bidi="ar"/>
        </w:rPr>
        <w:t>马贝</w:t>
      </w:r>
      <w:r>
        <w:rPr>
          <w:rFonts w:ascii="宋体" w:hAnsi="宋体" w:eastAsia="等线" w:cs="宋体"/>
          <w:kern w:val="0"/>
          <w:sz w:val="24"/>
          <w:szCs w:val="22"/>
          <w:lang w:val="en-US" w:eastAsia="zh-CN" w:bidi="ar"/>
        </w:rPr>
        <w:t>，</w:t>
      </w:r>
      <w:r>
        <w:rPr>
          <w:rFonts w:hint="eastAsia" w:ascii="宋体" w:hAnsi="宋体" w:eastAsia="等线" w:cs="宋体"/>
          <w:kern w:val="0"/>
          <w:sz w:val="24"/>
          <w:szCs w:val="22"/>
          <w:lang w:val="en-US" w:eastAsia="zh-CN" w:bidi="ar"/>
        </w:rPr>
        <w:t>中共党员，中国海洋大学管理学院2016级农业经济管理专业博士研究生。他创立红旗智援博士团，整合高校博士科研资源，激发老区群众脱贫内生动力，传播革命精神，号召全国青年投身脱贫实践。他所在的博士团，通过与31所高校的46支博士科研团队展开合作，对山东乐陵等7个贫困县开展了累计6.9万小时的智力帮扶。疫情期间，他组织号召全国20余所高校的1341名学生，依托专业优势，通过微商营销、直播带货等方式为云南绿春等国家级贫困县累计销售110万余元的滞销农产品。</w:t>
      </w:r>
    </w:p>
    <w:p>
      <w:pPr>
        <w:widowControl/>
        <w:spacing w:before="0" w:beforeAutospacing="0" w:after="0" w:afterAutospacing="0"/>
        <w:ind w:left="0" w:right="0" w:firstLine="2881" w:firstLineChars="1200"/>
        <w:jc w:val="left"/>
        <w:rPr>
          <w:rFonts w:hint="eastAsia" w:ascii="宋体" w:hAnsi="宋体" w:eastAsia="等线" w:cs="宋体"/>
          <w:kern w:val="0"/>
          <w:sz w:val="24"/>
          <w:szCs w:val="22"/>
          <w:lang w:val="en-US" w:eastAsia="zh-CN" w:bidi="ar"/>
        </w:rPr>
      </w:pPr>
      <w:r>
        <w:rPr>
          <w:rFonts w:ascii="宋体" w:hAnsi="宋体" w:eastAsia="等线" w:cs="宋体"/>
          <w:b/>
          <w:bCs/>
          <w:kern w:val="0"/>
          <w:sz w:val="24"/>
          <w:szCs w:val="22"/>
          <w:lang w:val="en-US" w:eastAsia="zh-CN" w:bidi="ar"/>
        </w:rPr>
        <w:t>不忘初心 坚持爱国力行</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一次偶然的机会，马贝发现素有“红色小延安”之称的冀鲁边抗日根据地德州乐陵，有百年历史的枣园被撂荒，盛产的金丝小枣因销售不畅而腐烂。作为农业经济管理博士的他决定运用所学帮助革命老区实现脱贫。</w:t>
      </w:r>
    </w:p>
    <w:p>
      <w:pPr>
        <w:widowControl/>
        <w:spacing w:before="0" w:beforeAutospacing="0" w:after="0" w:afterAutospacing="0"/>
        <w:ind w:left="0" w:right="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不久，马贝二次奔赴乐陵，与同学一起提出了成立“枣树集中化管理专业合作社”的方案，被当地政府采纳。专业实践与国家扶贫工作同频，高校科研成果在老区落地转化，红旗智援博士团由此创立。</w:t>
      </w:r>
    </w:p>
    <w:p>
      <w:pPr>
        <w:widowControl/>
        <w:spacing w:before="0" w:beforeAutospacing="0" w:after="0" w:afterAutospacing="0"/>
        <w:ind w:left="0" w:right="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博士团依托高校智力资源和科研成果优势，自主研发“多维贫困因子介入诊断术”，挖掘贫困地的关键致贫影响因素，同时提出精准扶贫方案，将学术研究、成长成才与祖国发展、民族复兴紧密连接。</w:t>
      </w:r>
    </w:p>
    <w:p>
      <w:pPr>
        <w:widowControl/>
        <w:spacing w:before="0" w:beforeAutospacing="0" w:after="0" w:afterAutospacing="0"/>
        <w:ind w:left="0" w:right="0" w:firstLine="2881" w:firstLineChars="1200"/>
        <w:jc w:val="left"/>
        <w:rPr>
          <w:rFonts w:hint="eastAsia" w:ascii="宋体" w:hAnsi="宋体" w:eastAsia="等线" w:cs="宋体"/>
          <w:kern w:val="0"/>
          <w:sz w:val="24"/>
          <w:szCs w:val="22"/>
          <w:lang w:val="en-US" w:eastAsia="zh-CN" w:bidi="ar"/>
        </w:rPr>
      </w:pPr>
      <w:r>
        <w:rPr>
          <w:rFonts w:hint="eastAsia" w:ascii="宋体" w:hAnsi="宋体" w:eastAsia="等线" w:cs="宋体"/>
          <w:b/>
          <w:bCs/>
          <w:kern w:val="0"/>
          <w:sz w:val="24"/>
          <w:szCs w:val="22"/>
          <w:lang w:val="en-US" w:eastAsia="zh-CN" w:bidi="ar"/>
        </w:rPr>
        <w:t>学以致用 助力脱贫攻坚</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经过实地调研，马贝了解到乐陵、蒙阴等贫困老区由于销售渠道单一、当地农户不善营销等原因，农产品滞销严重。他与博士团成员运用所学知识，在特色农产品销售、电商平台搭建、食品深加工、红色旅游规划等方面为贫困老区量身定制脱贫方案，凝聚智慧助力国家脱贫攻坚和乡村振兴。</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在德州乐陵，马贝结合乐陵对人才的迫切需求，组织中国海洋大学8个学院的13名学子赴乐陵市朱集镇参加挂职实践锻炼，助力当地人才振兴。</w:t>
      </w:r>
    </w:p>
    <w:p>
      <w:pPr>
        <w:widowControl/>
        <w:spacing w:before="0" w:beforeAutospacing="0" w:after="0" w:afterAutospacing="0"/>
        <w:ind w:left="0" w:right="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同时，他还与博士团成员协助当地政府建立农业合作社，累计助力乐陵市朱集镇503户贫困户、1131名贫困人口成功脱贫，在蓬莱北沟镇，为当地搭建特色农产品电商平台，对近百名当地企业与农户进行电商培训，帮助贫困农户拓宽营销渠道、提升电商营销技巧。在临沂蒙阴，马贝与博士团成员把营销蒙阴蜜桃作为比赛题目，组织山东省商业实训大赛，号召全省市场营销专业学生参与。半个月的时间，共帮扶农户销售蒙阴蜜桃7885斤，产生经济价值11.3万余元，蒙阴蜜桃线上销量比上一年同期农户自运营增长了3倍，极大提升了蒙阴蜜桃的品牌知名度。</w:t>
      </w:r>
    </w:p>
    <w:p>
      <w:pPr>
        <w:widowControl/>
        <w:spacing w:before="0" w:beforeAutospacing="0" w:after="0" w:afterAutospacing="0"/>
        <w:ind w:left="0" w:right="0" w:firstLine="2881" w:firstLineChars="1200"/>
        <w:jc w:val="left"/>
        <w:rPr>
          <w:rFonts w:hint="eastAsia" w:ascii="宋体" w:hAnsi="宋体" w:eastAsia="等线" w:cs="宋体"/>
          <w:kern w:val="0"/>
          <w:sz w:val="24"/>
          <w:szCs w:val="22"/>
          <w:lang w:val="en-US" w:eastAsia="zh-CN" w:bidi="ar"/>
        </w:rPr>
      </w:pPr>
      <w:r>
        <w:rPr>
          <w:rFonts w:hint="eastAsia" w:ascii="宋体" w:hAnsi="宋体" w:eastAsia="等线" w:cs="宋体"/>
          <w:b/>
          <w:bCs/>
          <w:kern w:val="0"/>
          <w:sz w:val="24"/>
          <w:szCs w:val="22"/>
          <w:lang w:val="en-US" w:eastAsia="zh-CN" w:bidi="ar"/>
        </w:rPr>
        <w:t>红色宣讲 绽放青春之花</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在帮扶蒙阴农户脱贫的过程中，马贝被新时代的沂蒙精神所感动，他思考如何才能把这种精神传递给更多人。</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2018年起，马贝与博士团成员陆续开展64场红色宣讲，通过讲述沂蒙精神和博士团的实践感悟，将扶贫筑梦之旗插到更多青年学子的心中。同时，与高校签订协议，携手31所高校的46支博士团队共同开展智援服务。</w:t>
      </w:r>
    </w:p>
    <w:p>
      <w:pPr>
        <w:widowControl/>
        <w:spacing w:before="0" w:beforeAutospacing="0" w:after="0" w:afterAutospacing="0"/>
        <w:ind w:left="0" w:right="0" w:firstLine="2641" w:firstLineChars="1100"/>
        <w:jc w:val="left"/>
        <w:rPr>
          <w:rFonts w:hint="eastAsia" w:ascii="宋体" w:hAnsi="宋体" w:eastAsia="等线" w:cs="宋体"/>
          <w:kern w:val="0"/>
          <w:sz w:val="24"/>
          <w:szCs w:val="22"/>
          <w:lang w:val="en-US" w:eastAsia="zh-CN" w:bidi="ar"/>
        </w:rPr>
      </w:pPr>
      <w:r>
        <w:rPr>
          <w:rFonts w:hint="eastAsia" w:ascii="宋体" w:hAnsi="宋体" w:eastAsia="等线" w:cs="宋体"/>
          <w:b/>
          <w:bCs/>
          <w:kern w:val="0"/>
          <w:sz w:val="24"/>
          <w:szCs w:val="22"/>
          <w:lang w:val="en-US" w:eastAsia="zh-CN" w:bidi="ar"/>
        </w:rPr>
        <w:t>抗疫扶贫 勇担青年使命</w:t>
      </w:r>
      <w:r>
        <w:rPr>
          <w:rFonts w:hint="eastAsia" w:ascii="宋体" w:hAnsi="宋体" w:eastAsia="等线" w:cs="宋体"/>
          <w:kern w:val="0"/>
          <w:sz w:val="24"/>
          <w:szCs w:val="22"/>
          <w:lang w:val="en-US" w:eastAsia="zh-CN" w:bidi="ar"/>
        </w:rPr>
        <w:br w:type="textWrapping"/>
      </w:r>
      <w:r>
        <w:rPr>
          <w:rFonts w:hint="eastAsia" w:ascii="宋体" w:hAnsi="宋体" w:eastAsia="等线" w:cs="宋体"/>
          <w:kern w:val="0"/>
          <w:sz w:val="24"/>
          <w:szCs w:val="22"/>
          <w:lang w:val="en-US" w:eastAsia="zh-CN" w:bidi="ar"/>
        </w:rPr>
        <w:t>疫情期间，马贝与博士团成员策划开启“云问诊”的扶贫模式，通过微商营销、短视频直播等方式为国家级贫困县云南省绿春县滞销农产品打开销路。同时，面向校内市场营销系学生发起并组织“智援绿春·线上助销”公益扶贫的居家毕业实习活动，让学生运用专业知识进行网络营销与推广，助力绿春县精准脱贫。面向校内外青年学子发出“践商研学·智援绿春”倡议，组织全国20余所高校的214支队伍、1341名青年学子参加智营销大赛与旅游DIY大赛，汇聚青年力量，帮助绿春县共克疫情、脱贫攻坚。马贝带领博士团帮助云南绿春等贫困地区线上销售滞销农产品累计超过110万元，大幅提升了当地贫困农户的收入。在做好自身科研的同时，马贝还积极投身于所在社区疫情防控工作的第一线，每天按时在当地客流量大、工作任务重的农贸市场值守，充分彰显了当代青年学生的责任与担当。</w:t>
      </w:r>
    </w:p>
    <w:p>
      <w:pPr>
        <w:widowControl/>
        <w:spacing w:before="0" w:beforeAutospacing="0" w:after="0" w:afterAutospacing="0"/>
        <w:ind w:left="0" w:right="0" w:firstLine="42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马贝通过近四年的扶贫实践意识到：了解农村发展的现实问题和农民的真正需求，将学术研究落地转化，为农民带来切实的福利，才是最有价值的学术实践，更是青年学子应有的责任担当。</w:t>
      </w:r>
    </w:p>
    <w:p>
      <w:pPr>
        <w:keepNext/>
        <w:keepLines/>
        <w:widowControl w:val="0"/>
        <w:spacing w:before="340" w:after="330" w:line="578" w:lineRule="auto"/>
        <w:jc w:val="center"/>
        <w:outlineLvl w:val="0"/>
        <w:rPr>
          <w:rFonts w:ascii="等线" w:hAnsi="等线" w:eastAsia="等线" w:cs="Times New Roman"/>
          <w:b/>
          <w:bCs/>
          <w:kern w:val="44"/>
          <w:sz w:val="30"/>
          <w:szCs w:val="30"/>
          <w:lang w:val="en-US" w:eastAsia="zh-CN" w:bidi="ar-SA"/>
        </w:rPr>
      </w:pPr>
      <w:r>
        <w:rPr>
          <w:rFonts w:ascii="等线" w:hAnsi="等线" w:eastAsia="等线" w:cs="Times New Roman"/>
          <w:b/>
          <w:bCs/>
          <w:kern w:val="44"/>
          <w:sz w:val="32"/>
          <w:szCs w:val="44"/>
          <w:lang w:val="en-US" w:eastAsia="zh-CN" w:bidi="ar-SA"/>
        </w:rPr>
        <w:br w:type="page"/>
      </w:r>
      <w:bookmarkStart w:id="1" w:name="_Toc54171077"/>
      <w:r>
        <w:rPr>
          <w:rFonts w:hint="eastAsia" w:ascii="等线" w:hAnsi="等线" w:eastAsia="等线" w:cs="Times New Roman"/>
          <w:b/>
          <w:bCs/>
          <w:kern w:val="44"/>
          <w:sz w:val="30"/>
          <w:szCs w:val="30"/>
          <w:lang w:val="en-US" w:eastAsia="zh-CN" w:bidi="ar-SA"/>
        </w:rPr>
        <w:t>南开大学 卢彪</w:t>
      </w:r>
      <w:bookmarkEnd w:id="1"/>
    </w:p>
    <w:p>
      <w:pPr>
        <w:widowControl/>
        <w:spacing w:before="0" w:beforeAutospacing="0" w:after="0" w:afterAutospacing="0"/>
        <w:ind w:left="0" w:right="0" w:firstLine="508" w:firstLineChars="200"/>
        <w:jc w:val="left"/>
        <w:rPr>
          <w:rFonts w:hint="eastAsia" w:ascii="宋体" w:hAnsi="宋体" w:eastAsia="等线" w:cs="宋体"/>
          <w:kern w:val="0"/>
          <w:sz w:val="24"/>
          <w:szCs w:val="22"/>
          <w:lang w:val="en-US" w:eastAsia="zh-CN" w:bidi="ar"/>
        </w:rPr>
      </w:pPr>
      <w:r>
        <w:rPr>
          <w:rFonts w:hint="eastAsia" w:ascii="宋体" w:hAnsi="宋体" w:eastAsia="等线" w:cs="宋体"/>
          <w:b/>
          <w:bCs/>
          <w:color w:val="000000"/>
          <w:spacing w:val="7"/>
          <w:kern w:val="0"/>
          <w:sz w:val="24"/>
          <w:szCs w:val="22"/>
          <w:shd w:val="clear" w:color="auto" w:fill="FFFFFF"/>
          <w:lang w:val="en-US" w:eastAsia="zh-CN" w:bidi="ar"/>
        </w:rPr>
        <w:t>卢彪</w:t>
      </w:r>
      <w:r>
        <w:rPr>
          <w:rFonts w:hint="eastAsia" w:ascii="宋体" w:hAnsi="宋体" w:eastAsia="等线" w:cs="宋体"/>
          <w:kern w:val="0"/>
          <w:sz w:val="24"/>
          <w:szCs w:val="22"/>
          <w:lang w:val="en-US" w:eastAsia="zh-CN" w:bidi="ar"/>
        </w:rPr>
        <w:t>，南开大学人工智能学院直博生。曾荣获“周恩来奖学金”，带领团队一举斩获“互联网+”国赛金奖。已发表高水平论文23篇，获3项发明专利授权。作为核心成员，跟随导师研发的智控项目荣获我国人工智能领域最高奖并入选“中国智能制造十大科技进展”。有志于打造具有完全自主知识产权的智能化控制系统，相关研究成果已在天津港合作应用。</w:t>
      </w:r>
    </w:p>
    <w:p>
      <w:pPr>
        <w:widowControl/>
        <w:spacing w:before="0" w:beforeAutospacing="0" w:after="0" w:afterAutospacing="0"/>
        <w:ind w:left="0" w:right="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聚焦“工业欠驱动系统的控制与优化”，锚定智能制造领域的“卡脖子”难题，虽九曲而不悔，历万难而不怠，心怀科研报国之志，卢彪正在一步一个脚印地书写着一个工科博士生的爱国奋斗篇章。只因他有着一个坚定地信念：“爱国，就要让祖国更强大！”</w:t>
      </w:r>
    </w:p>
    <w:p>
      <w:pPr>
        <w:widowControl/>
        <w:spacing w:before="0" w:beforeAutospacing="0" w:after="0" w:afterAutospacing="0"/>
        <w:ind w:left="0" w:right="0" w:firstLine="1921" w:firstLineChars="800"/>
        <w:jc w:val="left"/>
        <w:rPr>
          <w:rFonts w:hint="eastAsia" w:ascii="宋体" w:hAnsi="宋体" w:eastAsia="等线" w:cs="宋体"/>
          <w:b/>
          <w:bCs/>
          <w:kern w:val="0"/>
          <w:sz w:val="24"/>
          <w:szCs w:val="22"/>
          <w:lang w:val="en-US" w:eastAsia="zh-CN" w:bidi="ar"/>
        </w:rPr>
      </w:pPr>
      <w:r>
        <w:rPr>
          <w:rFonts w:hint="eastAsia" w:ascii="宋体" w:hAnsi="宋体" w:eastAsia="等线" w:cs="宋体"/>
          <w:b/>
          <w:bCs/>
          <w:kern w:val="0"/>
          <w:sz w:val="24"/>
          <w:szCs w:val="22"/>
          <w:lang w:val="en-US" w:eastAsia="zh-CN" w:bidi="ar"/>
        </w:rPr>
        <w:t>立大志——以“智”报国，为梦想蓄能</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科研之路绝非坦途，点滴“累土”才能筑就科研“高台”。</w:t>
      </w:r>
    </w:p>
    <w:p>
      <w:pPr>
        <w:widowControl/>
        <w:spacing w:before="0" w:beforeAutospacing="0" w:after="0" w:afterAutospacing="0"/>
        <w:ind w:left="0" w:right="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甘坐冷板凳，敢啃硬骨头。卢彪不畏难，他坚信，只有让自己不停“迭代”，未来才有可能助力中国智能工业的持续创新。</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从本科到博士，卢彪除了吃饭睡觉，其他时间几乎全部钻到书本里、泡在实验室、扎进项目中，寒来暑往，年复一年，如饥似渴地汲取知识，苦练本领。“忙碌和刻苦才是博士生的正常状态。至于取得成绩，我相信一定会水到渠成。”卢彪说。</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南开9年，卢彪埋头于人工智能理论的学习中，潜心研读，以求打下坚实的理论基础；他投身在各类科研项目里，突破一个又一个技术难题；他沉浸在专业精准的设备操控上，大胆假设、细心调试，享受每一次成功后的喜悦。</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面对困难和失败，卢彪也坚信问题总会接踵而至，办法不会姗姗来迟。</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他的论文曾一连5次遭拒。这并没有让他心灰意冷，一遍遍的修改不仅快速提高了他的研究水平，也让科研路上的他少了许多傲气，多了几分从容。</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他曾获评南开大学优秀本科毕业论文，连续2年天津市创新创业奖学金、国家奖学金；先后发表学术论文23篇，其中第一作者14篇，影响因子超过90，获3项发明专利授权；南开十杰、南开大学学生年度人物、青年五四奖章……</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在很多人眼里，卢彪是拿奖拿到手软的“学霸”，熟悉他的师生却知道，荣誉背后凝结着常人难以想象的付出。</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孜孜以求、百炼成钢，卢彪用辛勤的汗水完成了积累与储备，也为他科研报国梦想的实现夯实了基础。</w:t>
      </w:r>
    </w:p>
    <w:p>
      <w:pPr>
        <w:widowControl/>
        <w:spacing w:before="0" w:beforeAutospacing="0" w:after="0" w:afterAutospacing="0"/>
        <w:ind w:left="0" w:right="0" w:firstLine="2161" w:firstLineChars="900"/>
        <w:jc w:val="left"/>
        <w:rPr>
          <w:rFonts w:hint="eastAsia" w:ascii="宋体" w:hAnsi="宋体" w:eastAsia="等线" w:cs="宋体"/>
          <w:b/>
          <w:bCs/>
          <w:kern w:val="0"/>
          <w:sz w:val="24"/>
          <w:szCs w:val="22"/>
          <w:lang w:val="en-US" w:eastAsia="zh-CN" w:bidi="ar"/>
        </w:rPr>
      </w:pPr>
      <w:r>
        <w:rPr>
          <w:rFonts w:hint="eastAsia" w:ascii="宋体" w:hAnsi="宋体" w:eastAsia="等线" w:cs="宋体"/>
          <w:b/>
          <w:bCs/>
          <w:kern w:val="0"/>
          <w:sz w:val="24"/>
          <w:szCs w:val="22"/>
          <w:lang w:val="en-US" w:eastAsia="zh-CN" w:bidi="ar"/>
        </w:rPr>
        <w:t>行大道——勇担使命，让创新释能</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在吊车控制系统领域，国外的技术封锁由来已久，特别是吊车自动控制系统这一核心部件更是长期由西方国家垄断，国内企业长期被甩脸子、牵鼻子、卡脖子。卢彪跟随导师从事的“工业欠驱动系统的控制与优化”研究，就是为了让中国在这一领域突破封锁，获得自主发展能力。</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通过新闻报道，卢彪看到习近平总书记始终关心着我国工业自动化的发展进程，多次到重点行业企业考察时都强调，要抓好创新驱动，掌握和运用好关键技术。</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卢彪还知道，百年南开，无数前辈学人无不将个人命运与国家民族命运紧密相连，在为国家发展贡献智慧力量的过程中实现人生价值。</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“这更加坚定了我从事这项研究的决心。以技术细节的打磨熔铸国之重器，用创新的积淀突破国外技术封锁。”卢彪说。</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在徐工集团的汽车吊自动化生产线，在天津港太平洋码头的远程操控中心，卢彪奋战在科研一线、操控一线和产业一线。</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与天津港的合作启动后，卢彪需要盯项目，常常在不到4平米的狭窄电气室里一站就是一整天；因为实验需要，恐高的他也不得不爬上高达20米的桥架上开展工作；还要克服巨大心理压力，站在电气室外眼看着巨大的吊具向他甩过来。</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经过数个月的攻关，该项目大获成功，许多关键指标上远超国际知名厂商。</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卢彪参与研发的32吨级自动吊车控制系统，拥有完全自主研发的软硬件设施，一年以上稳定运行的良好记录，事故率降低50%以上，可以说突破了技术封锁，让中国在该领域核心技术上拥有了完全自主知识产权。</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作为核心成员之一，卢彪参与的“自动吊车控制系统项目”入选了国家自然科学基金资助项目优秀成果选编，荣获我国人工智能领域最高奖——吴文俊人工智能自然科学一等奖、2019 年中国智能制造十大科技进展，并为南开大学斩获“互联网+”首个国赛金奖。</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这些奖项的背后是先后对接7家企业，50余次洽谈，上百次设备调试，20000多公里行程。</w:t>
      </w:r>
    </w:p>
    <w:p>
      <w:pPr>
        <w:widowControl/>
        <w:spacing w:before="0" w:beforeAutospacing="0" w:after="0" w:afterAutospacing="0"/>
        <w:ind w:left="0" w:right="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卢彪说：“革命先辈们浴血奋战成就了站起来的新中国，我们这一代人就是要接力民族复兴的重任，在科研创新的角力中建设强起来的新中国。”</w:t>
      </w:r>
    </w:p>
    <w:p>
      <w:pPr>
        <w:widowControl/>
        <w:spacing w:before="0" w:beforeAutospacing="0" w:after="0" w:afterAutospacing="0"/>
        <w:ind w:left="0" w:right="0" w:firstLine="1921" w:firstLineChars="800"/>
        <w:jc w:val="left"/>
        <w:rPr>
          <w:rFonts w:hint="eastAsia" w:ascii="宋体" w:hAnsi="宋体" w:eastAsia="等线" w:cs="宋体"/>
          <w:kern w:val="0"/>
          <w:sz w:val="24"/>
          <w:szCs w:val="22"/>
          <w:lang w:val="en-US" w:eastAsia="zh-CN" w:bidi="ar"/>
        </w:rPr>
      </w:pPr>
      <w:r>
        <w:rPr>
          <w:rFonts w:hint="eastAsia" w:ascii="宋体" w:hAnsi="宋体" w:eastAsia="等线" w:cs="宋体"/>
          <w:b/>
          <w:bCs/>
          <w:kern w:val="0"/>
          <w:sz w:val="24"/>
          <w:szCs w:val="22"/>
          <w:lang w:val="en-US" w:eastAsia="zh-CN" w:bidi="ar"/>
        </w:rPr>
        <w:t>成大势——汇涓涓细流，让小我聚能</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百年南开的公心、科研报国的雄心、服务他人的爱心，熔铸了一位南开青年始终未改的初心。不言涓流细，莫道星火微，卢彪铭记初心，行于脚下。</w:t>
      </w:r>
      <w:r>
        <w:rPr>
          <w:rFonts w:hint="eastAsia" w:ascii="宋体" w:hAnsi="宋体" w:eastAsia="等线" w:cs="宋体"/>
          <w:kern w:val="0"/>
          <w:sz w:val="24"/>
          <w:szCs w:val="22"/>
          <w:lang w:val="en-US" w:eastAsia="zh-CN" w:bidi="ar"/>
        </w:rPr>
        <w:br w:type="textWrapping"/>
      </w:r>
      <w:r>
        <w:rPr>
          <w:rFonts w:hint="eastAsia" w:ascii="宋体" w:hAnsi="宋体" w:eastAsia="等线" w:cs="宋体"/>
          <w:kern w:val="0"/>
          <w:sz w:val="24"/>
          <w:szCs w:val="22"/>
          <w:lang w:val="en-US" w:eastAsia="zh-CN" w:bidi="ar"/>
        </w:rPr>
        <w:t xml:space="preserve">    服务于天津市智能机器人技术重点实验室年会、国家重点研发计划启动会、国际图像图形会议等数十场科研会议，“优秀志愿者”是卢彪用科研服务社会的最好答卷。</w:t>
      </w:r>
      <w:r>
        <w:rPr>
          <w:rFonts w:hint="eastAsia" w:ascii="宋体" w:hAnsi="宋体" w:eastAsia="等线" w:cs="宋体"/>
          <w:kern w:val="0"/>
          <w:sz w:val="24"/>
          <w:szCs w:val="22"/>
          <w:lang w:val="en-US" w:eastAsia="zh-CN" w:bidi="ar"/>
        </w:rPr>
        <w:br w:type="textWrapping"/>
      </w:r>
      <w:r>
        <w:rPr>
          <w:rFonts w:hint="eastAsia" w:ascii="宋体" w:hAnsi="宋体" w:eastAsia="等线" w:cs="宋体"/>
          <w:kern w:val="0"/>
          <w:sz w:val="24"/>
          <w:szCs w:val="22"/>
          <w:lang w:val="en-US" w:eastAsia="zh-CN" w:bidi="ar"/>
        </w:rPr>
        <w:t xml:space="preserve">    卢彪还十分乐于帮助年轻的学弟学妹。入学时，他主动为300余名新生介绍专业，带领他们走进人工智能的世界；实验室里，他热心指导师弟师妹做实验、调设备，辅导他们的毕业设计；生活中，他常常和学弟学妹们交流科研经验，鼓励他们立大志、做大事。</w:t>
      </w:r>
      <w:r>
        <w:rPr>
          <w:rFonts w:hint="eastAsia" w:ascii="宋体" w:hAnsi="宋体" w:eastAsia="等线" w:cs="宋体"/>
          <w:kern w:val="0"/>
          <w:sz w:val="24"/>
          <w:szCs w:val="22"/>
          <w:lang w:val="en-US" w:eastAsia="zh-CN" w:bidi="ar"/>
        </w:rPr>
        <w:br w:type="textWrapping"/>
      </w:r>
      <w:r>
        <w:rPr>
          <w:rFonts w:hint="eastAsia" w:ascii="宋体" w:hAnsi="宋体" w:eastAsia="等线" w:cs="宋体"/>
          <w:kern w:val="0"/>
          <w:sz w:val="24"/>
          <w:szCs w:val="22"/>
          <w:lang w:val="en-US" w:eastAsia="zh-CN" w:bidi="ar"/>
        </w:rPr>
        <w:t xml:space="preserve">    卢彪还主动为校内外1000余人次进行技术宣讲。聆听者既包括Science主编等专家团队，也有各方企业人士，还有热情的市民和中小学生。他与企业交流成果转化，为市民科普人工智能，为专家剖解技术要点，为学生分享科研经验。他用火一样的热情累积起服务的温度和热度，播撒科学的火种。</w:t>
      </w:r>
      <w:r>
        <w:rPr>
          <w:rFonts w:hint="eastAsia" w:ascii="宋体" w:hAnsi="宋体" w:eastAsia="等线" w:cs="宋体"/>
          <w:kern w:val="0"/>
          <w:sz w:val="24"/>
          <w:szCs w:val="22"/>
          <w:lang w:val="en-US" w:eastAsia="zh-CN" w:bidi="ar"/>
        </w:rPr>
        <w:br w:type="textWrapping"/>
      </w:r>
      <w:r>
        <w:rPr>
          <w:rFonts w:hint="eastAsia" w:ascii="宋体" w:hAnsi="宋体" w:eastAsia="等线" w:cs="宋体"/>
          <w:kern w:val="0"/>
          <w:sz w:val="24"/>
          <w:szCs w:val="22"/>
          <w:lang w:val="en-US" w:eastAsia="zh-CN" w:bidi="ar"/>
        </w:rPr>
        <w:t xml:space="preserve">    面对突如其来的疫情，卢彪第一时间汇入战“疫”的“洪流”之中：他以最快速度奔赴天津港调试设备，解决技术难点，助力复工复产、港口重启；作为天津市“爱国力行 共抗疫情”优秀师生高校巡讲团成员，他的事迹，影响带动着广大南开青年，投身抗击疫情阻击战，以实际行动践行南开人“知中国，服务中国”的初心和使命。</w:t>
      </w:r>
      <w:r>
        <w:rPr>
          <w:rFonts w:hint="eastAsia" w:ascii="宋体" w:hAnsi="宋体" w:eastAsia="等线" w:cs="宋体"/>
          <w:kern w:val="0"/>
          <w:sz w:val="24"/>
          <w:szCs w:val="22"/>
          <w:lang w:val="en-US" w:eastAsia="zh-CN" w:bidi="ar"/>
        </w:rPr>
        <w:br w:type="textWrapping"/>
      </w:r>
      <w:r>
        <w:rPr>
          <w:rFonts w:hint="eastAsia" w:ascii="宋体" w:hAnsi="宋体" w:eastAsia="等线" w:cs="宋体"/>
          <w:kern w:val="0"/>
          <w:sz w:val="24"/>
          <w:szCs w:val="22"/>
          <w:lang w:val="en-US" w:eastAsia="zh-CN" w:bidi="ar"/>
        </w:rPr>
        <w:t xml:space="preserve">    化得身千亿，皆是同路人。卢彪愿做一粒种子，愿把服务科研、服务他人、服务国家的初心播撒在四海，香溢在云天。</w:t>
      </w:r>
    </w:p>
    <w:p>
      <w:pPr>
        <w:widowControl/>
        <w:spacing w:before="0" w:beforeAutospacing="0" w:after="0" w:afterAutospacing="0"/>
        <w:ind w:left="0" w:right="0"/>
        <w:jc w:val="left"/>
        <w:rPr>
          <w:rFonts w:hint="eastAsia" w:ascii="宋体" w:hAnsi="宋体" w:eastAsia="等线" w:cs="宋体"/>
          <w:b/>
          <w:bCs/>
          <w:kern w:val="0"/>
          <w:sz w:val="24"/>
          <w:szCs w:val="22"/>
          <w:lang w:val="en-US" w:eastAsia="zh-CN" w:bidi="ar"/>
        </w:rPr>
      </w:pPr>
    </w:p>
    <w:p>
      <w:pPr>
        <w:keepNext/>
        <w:keepLines/>
        <w:widowControl w:val="0"/>
        <w:spacing w:before="340" w:after="330" w:line="578" w:lineRule="auto"/>
        <w:jc w:val="both"/>
        <w:outlineLvl w:val="0"/>
        <w:rPr>
          <w:rFonts w:ascii="等线" w:hAnsi="等线" w:eastAsia="等线" w:cs="Times New Roman"/>
          <w:b/>
          <w:bCs/>
          <w:kern w:val="44"/>
          <w:sz w:val="30"/>
          <w:szCs w:val="30"/>
          <w:lang w:val="en-US" w:eastAsia="zh-CN" w:bidi="ar-SA"/>
        </w:rPr>
      </w:pPr>
      <w:r>
        <w:rPr>
          <w:rFonts w:ascii="等线" w:hAnsi="等线" w:eastAsia="等线" w:cs="Times New Roman"/>
          <w:b/>
          <w:bCs/>
          <w:kern w:val="44"/>
          <w:sz w:val="32"/>
          <w:szCs w:val="44"/>
          <w:lang w:val="en-US" w:eastAsia="zh-CN" w:bidi="ar-SA"/>
        </w:rPr>
        <w:br w:type="page"/>
      </w:r>
      <w:r>
        <w:rPr>
          <w:rFonts w:hint="eastAsia" w:ascii="等线" w:hAnsi="等线" w:eastAsia="等线" w:cs="Times New Roman"/>
          <w:b/>
          <w:bCs/>
          <w:kern w:val="44"/>
          <w:sz w:val="32"/>
          <w:szCs w:val="44"/>
          <w:lang w:val="en-US" w:eastAsia="zh-CN" w:bidi="ar-SA"/>
        </w:rPr>
        <w:t xml:space="preserve">              </w:t>
      </w:r>
      <w:bookmarkStart w:id="2" w:name="_Toc54171078"/>
      <w:r>
        <w:rPr>
          <w:rFonts w:hint="eastAsia" w:ascii="等线" w:hAnsi="等线" w:eastAsia="等线" w:cs="Times New Roman"/>
          <w:b/>
          <w:bCs/>
          <w:kern w:val="44"/>
          <w:sz w:val="30"/>
          <w:szCs w:val="30"/>
          <w:lang w:val="en-US" w:eastAsia="zh-CN" w:bidi="ar-SA"/>
        </w:rPr>
        <w:t>抚顺职业技术学院 兰郡泽</w:t>
      </w:r>
      <w:bookmarkEnd w:id="2"/>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b/>
          <w:bCs/>
          <w:kern w:val="0"/>
          <w:sz w:val="24"/>
          <w:szCs w:val="22"/>
          <w:lang w:val="en-US" w:eastAsia="zh-CN" w:bidi="ar"/>
        </w:rPr>
        <w:t>兰郡泽</w:t>
      </w:r>
      <w:r>
        <w:rPr>
          <w:rFonts w:hint="eastAsia" w:ascii="宋体" w:hAnsi="宋体" w:eastAsia="等线" w:cs="宋体"/>
          <w:kern w:val="0"/>
          <w:sz w:val="24"/>
          <w:szCs w:val="22"/>
          <w:lang w:val="en-US" w:eastAsia="zh-CN" w:bidi="ar"/>
        </w:rPr>
        <w:t>，男，满族，2001年4月出生在南杂木镇南杂木村的一个普通家庭，母亲经营一家日杂店，他和父亲经营龙兴吊运公司，业务以出租吊车为主。</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2019年5月2日清晨，兰郡泽像往常一样提前到达施工地点，准备施工的他突然发现一幢7层居民楼起火。起火点在一楼的一间日杂商店，火势从日杂商店向上蔓延，浓烟很快将居民楼锁住，由于起火时间是早晨，店铺里面并没有人，一楼二楼是商铺，三楼以上都有住户。</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 xml:space="preserve">三楼露台上，住户董女士和儿子大声呼救。兰郡泽听到母子二人的呼喊，抄近路跑过来观察，发现楼上多户居民被困在家中，赶紧把工作用的吊车开到现场，将铁臂伸展到三楼，操作吊车开始了“一个人的救援”。母子二人平稳落地后，兰郡泽又把吊车升到了四楼。吊篮出现在眼前，让绝望的莽先生看到了希望，一家人不到五分钟成功脱险。此时，火势越来越大，距离起火点十米不到的兰郡泽感受到了从未有过的炙烤。随后，兰郡泽继续把吊篮升到五楼、六楼，再调整铁臂方向，转到单元的南侧。此时，兰郡泽的父亲闻讯赶到现场，在吊车外面做儿子的指挥员。半个小时不到，兰郡泽从八户居民家中救出了14名被困群众。         </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被困者顺利救出后，兰郡泽随父亲悄悄离开，又回到工地继续干活，直到当天晚上陆续传出他救人的话题和视频，兰郡泽才意识到，自己拯救了那么多人的性命。</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“吊车侠”兰郡泽的事迹获得了网友们的称赞，19岁的兰郡泽说：“平时父母就教育自己要乐于助人，遇到居民楼起火这样的事情一定会毫不犹豫地去救人。”</w:t>
      </w:r>
    </w:p>
    <w:p>
      <w:pPr>
        <w:widowControl/>
        <w:spacing w:before="0" w:beforeAutospacing="0" w:after="0" w:afterAutospacing="0"/>
        <w:ind w:left="0" w:right="0" w:firstLine="2017" w:firstLineChars="700"/>
        <w:jc w:val="left"/>
        <w:rPr>
          <w:rFonts w:hint="eastAsia" w:ascii="宋体" w:hAnsi="宋体" w:eastAsia="等线" w:cs="宋体"/>
          <w:color w:val="000000"/>
          <w:spacing w:val="24"/>
          <w:kern w:val="0"/>
          <w:sz w:val="24"/>
          <w:szCs w:val="22"/>
          <w:shd w:val="clear" w:color="auto" w:fill="FFFFFF"/>
          <w:lang w:val="en-US" w:eastAsia="zh-CN" w:bidi="ar"/>
        </w:rPr>
      </w:pPr>
      <w:r>
        <w:rPr>
          <w:rFonts w:hint="eastAsia" w:ascii="宋体" w:hAnsi="宋体" w:eastAsia="等线" w:cs="宋体"/>
          <w:b/>
          <w:color w:val="000000"/>
          <w:spacing w:val="24"/>
          <w:kern w:val="0"/>
          <w:sz w:val="24"/>
          <w:szCs w:val="22"/>
          <w:shd w:val="clear" w:color="auto" w:fill="FFFFFF"/>
          <w:lang w:val="en-US" w:eastAsia="zh-CN" w:bidi="ar"/>
        </w:rPr>
        <w:t>他和父亲一起加入蓝天救援队</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兰郡泽的事迹一经报道，引起了全社会的关注，他被评为抚顺“百姓雷锋”，获得“抚顺市见义勇为模范”称号。其家庭获得了抚顺市妇联授予的“最美平民英雄之家”荣誉，以及省市“最美家庭”称号。</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同时，兰郡泽还和父亲一起加入了抚顺市新宾县蓝天救援队，父子俩准备为社会做更多贡献。</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“我要用行动去帮助更多人。”2019年12月29日，兰郡泽说自己受到了很多人的关注，在以后的日子里将继续传递正能量，弘扬雷锋精神，希望每一个人都能尽自己所能去帮助别人，去奉献爱、传播爱。</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2020年3月，兰郡泽到抚顺职业技术学院建工系开始新的大学生活，他想多学一些知识，进一步提升自己，这样才能更好地帮助别人，不辜负大家的期望。</w:t>
      </w:r>
    </w:p>
    <w:p>
      <w:pPr>
        <w:widowControl/>
        <w:spacing w:before="0" w:beforeAutospacing="0" w:after="0" w:afterAutospacing="0"/>
        <w:ind w:left="0" w:right="0" w:firstLine="2017" w:firstLineChars="700"/>
        <w:jc w:val="left"/>
        <w:rPr>
          <w:rFonts w:hint="eastAsia" w:ascii="宋体" w:hAnsi="宋体" w:eastAsia="等线" w:cs="宋体"/>
          <w:color w:val="000000"/>
          <w:spacing w:val="24"/>
          <w:kern w:val="0"/>
          <w:sz w:val="24"/>
          <w:szCs w:val="22"/>
          <w:shd w:val="clear" w:color="auto" w:fill="FFFFFF"/>
          <w:lang w:val="en-US" w:eastAsia="zh-CN" w:bidi="ar"/>
        </w:rPr>
      </w:pPr>
      <w:r>
        <w:rPr>
          <w:rFonts w:hint="eastAsia" w:ascii="宋体" w:hAnsi="宋体" w:eastAsia="等线" w:cs="宋体"/>
          <w:b/>
          <w:color w:val="000000"/>
          <w:spacing w:val="24"/>
          <w:kern w:val="0"/>
          <w:sz w:val="24"/>
          <w:szCs w:val="22"/>
          <w:shd w:val="clear" w:color="auto" w:fill="FFFFFF"/>
          <w:lang w:val="en-US" w:eastAsia="zh-CN" w:bidi="ar"/>
        </w:rPr>
        <w:t>获“辽宁好人”是认可和鼓励</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2019年12月27日“辽宁好人”2019年度盛典在沈阳举行，兰郡泽获“辽宁好人”荣誉称号。兰郡泽说这项殊荣是对自己的认可和鼓励，“获得这个荣誉很激动，激励我将来做更多好事。”</w:t>
      </w:r>
    </w:p>
    <w:p>
      <w:pPr>
        <w:widowControl/>
        <w:spacing w:before="0" w:beforeAutospacing="0" w:after="0" w:afterAutospacing="0"/>
        <w:ind w:left="0" w:right="0" w:firstLine="480" w:firstLineChars="200"/>
        <w:jc w:val="left"/>
        <w:rPr>
          <w:rFonts w:hint="eastAsia" w:ascii="宋体" w:hAnsi="宋体" w:eastAsia="等线" w:cs="宋体"/>
          <w:kern w:val="0"/>
          <w:sz w:val="24"/>
          <w:szCs w:val="22"/>
          <w:lang w:val="en-US" w:eastAsia="zh-CN" w:bidi="ar"/>
        </w:rPr>
      </w:pPr>
      <w:r>
        <w:rPr>
          <w:rFonts w:hint="eastAsia" w:ascii="宋体" w:hAnsi="宋体" w:eastAsia="等线" w:cs="宋体"/>
          <w:kern w:val="0"/>
          <w:sz w:val="24"/>
          <w:szCs w:val="22"/>
          <w:lang w:val="en-US" w:eastAsia="zh-CN" w:bidi="ar"/>
        </w:rPr>
        <w:t>兰郡泽的事迹经报道后，让他获得了很多荣誉，他说：“这些荣誉有一些压力，我要把压力变成动力，用行动鼓励更多年轻人多做好事，做个好人。希望能在今后的日子里掌握更多知识和技能，更好地回报社会。”</w:t>
      </w:r>
    </w:p>
    <w:p>
      <w:pPr>
        <w:widowControl/>
        <w:spacing w:before="0" w:beforeAutospacing="0" w:after="0" w:afterAutospacing="0"/>
        <w:ind w:left="0" w:right="0"/>
        <w:jc w:val="left"/>
        <w:rPr>
          <w:rFonts w:hint="eastAsia" w:ascii="宋体" w:hAnsi="宋体" w:eastAsia="等线" w:cs="宋体"/>
          <w:color w:val="000000"/>
          <w:spacing w:val="24"/>
          <w:kern w:val="0"/>
          <w:sz w:val="24"/>
          <w:szCs w:val="22"/>
          <w:shd w:val="clear" w:color="auto" w:fill="FFFFFF"/>
          <w:lang w:val="en-US" w:eastAsia="zh-CN" w:bidi="ar"/>
        </w:rPr>
      </w:pPr>
    </w:p>
    <w:p>
      <w:pPr>
        <w:widowControl/>
        <w:spacing w:before="0" w:beforeAutospacing="0" w:after="0" w:afterAutospacing="0"/>
        <w:ind w:left="0" w:right="0"/>
        <w:jc w:val="left"/>
        <w:rPr>
          <w:rFonts w:hint="eastAsia" w:ascii="宋体" w:hAnsi="宋体" w:eastAsia="等线" w:cs="宋体"/>
          <w:color w:val="000000"/>
          <w:spacing w:val="24"/>
          <w:kern w:val="0"/>
          <w:sz w:val="24"/>
          <w:szCs w:val="22"/>
          <w:shd w:val="clear" w:color="auto" w:fill="FFFFFF"/>
          <w:lang w:val="en-US" w:eastAsia="zh-CN" w:bidi="ar"/>
        </w:rPr>
      </w:pPr>
    </w:p>
    <w:p>
      <w:pPr>
        <w:widowControl/>
        <w:spacing w:before="0" w:beforeAutospacing="0" w:after="0" w:afterAutospacing="0"/>
        <w:ind w:left="0" w:right="0" w:firstLine="1441" w:firstLineChars="500"/>
        <w:jc w:val="left"/>
        <w:rPr>
          <w:rFonts w:hint="eastAsia" w:ascii="宋体" w:hAnsi="宋体" w:eastAsia="等线" w:cs="宋体"/>
          <w:color w:val="000000"/>
          <w:spacing w:val="24"/>
          <w:kern w:val="0"/>
          <w:sz w:val="24"/>
          <w:szCs w:val="22"/>
          <w:shd w:val="clear" w:color="auto" w:fill="FFFFFF"/>
          <w:lang w:val="en-US" w:eastAsia="zh-CN" w:bidi="ar"/>
        </w:rPr>
      </w:pPr>
      <w:r>
        <w:rPr>
          <w:rFonts w:hint="eastAsia" w:ascii="宋体" w:hAnsi="宋体" w:eastAsia="等线" w:cs="宋体"/>
          <w:b/>
          <w:color w:val="000000"/>
          <w:spacing w:val="24"/>
          <w:kern w:val="0"/>
          <w:sz w:val="24"/>
          <w:szCs w:val="22"/>
          <w:shd w:val="clear" w:color="auto" w:fill="FFFFFF"/>
          <w:lang w:val="en-US" w:eastAsia="zh-CN" w:bidi="ar"/>
        </w:rPr>
        <w:t>疫情当前，他再次为家乡人民奉献爱心</w:t>
      </w:r>
    </w:p>
    <w:p>
      <w:pPr>
        <w:widowControl/>
        <w:spacing w:before="0" w:beforeAutospacing="0" w:after="0" w:afterAutospacing="0"/>
        <w:ind w:left="0" w:right="0" w:firstLine="420"/>
        <w:jc w:val="left"/>
        <w:rPr>
          <w:rFonts w:hint="eastAsia" w:ascii="宋体" w:hAnsi="宋体" w:eastAsia="等线" w:cs="宋体"/>
          <w:color w:val="000000"/>
          <w:spacing w:val="24"/>
          <w:kern w:val="0"/>
          <w:sz w:val="24"/>
          <w:szCs w:val="22"/>
          <w:shd w:val="clear" w:color="auto" w:fill="FFFFFF"/>
          <w:lang w:val="en-US" w:eastAsia="zh-CN" w:bidi="ar"/>
        </w:rPr>
      </w:pPr>
      <w:r>
        <w:rPr>
          <w:rFonts w:hint="eastAsia" w:ascii="宋体" w:hAnsi="宋体" w:eastAsia="等线" w:cs="宋体"/>
          <w:kern w:val="0"/>
          <w:sz w:val="24"/>
          <w:szCs w:val="22"/>
          <w:lang w:val="en-US" w:eastAsia="zh-CN" w:bidi="ar"/>
        </w:rPr>
        <w:t>疫情期间，“吊车侠”兰郡泽再次伸出温暖的双手，自费购买口罩，免费送给有需要的人，他说：“就是做力所能及的事”。热血热心，年轻有为，兰郡泽的一个举动，成功挽救了14个生命。听到呼救声立即行动，是根植于内心的善良和热心使然，机智操作吊车救人，是快速分析形势后的有勇有谋。</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40770F"/>
    <w:rsid w:val="27407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qFormat/>
    <w:uiPriority w:val="0"/>
    <w:rPr>
      <w:b/>
    </w:rPr>
  </w:style>
  <w:style w:type="character" w:styleId="10">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2021-12-17T01:44:00Z</dcterms:created>
  <dc:creator>赵一鸣</dc:creator>
  <cp:lastModifiedBy>赵一鸣</cp:lastModifiedBy>
  <dcterms:modified xsi:type="dcterms:W3CDTF">2021-12-17T01:45:16Z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E421BC45A1DB4959BF8EEE8125551AAF</vt:lpwstr>
  </property>
</Properties>
</file>