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5EFE6B">
      <w:pPr>
        <w:spacing w:line="360" w:lineRule="auto"/>
        <w:jc w:val="center"/>
        <w:rPr>
          <w:rFonts w:hint="eastAsia" w:ascii="华文中宋" w:hAnsi="华文中宋" w:eastAsia="华文中宋" w:cs="华文楷体"/>
          <w:b/>
          <w:bCs/>
          <w:color w:val="FF0000"/>
          <w:spacing w:val="100"/>
          <w:sz w:val="72"/>
          <w:szCs w:val="144"/>
        </w:rPr>
      </w:pPr>
    </w:p>
    <w:p w14:paraId="5797426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华文中宋" w:hAnsi="华文中宋" w:eastAsia="华文中宋" w:cs="华文楷体"/>
          <w:b/>
          <w:bCs/>
          <w:color w:val="FF0000"/>
          <w:spacing w:val="100"/>
          <w:sz w:val="72"/>
          <w:szCs w:val="144"/>
          <w:lang w:val="en-US" w:eastAsia="zh-CN"/>
        </w:rPr>
      </w:pPr>
    </w:p>
    <w:p w14:paraId="70A9D7B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华文中宋" w:hAnsi="华文中宋" w:eastAsia="华文中宋" w:cs="华文楷体"/>
          <w:b/>
          <w:bCs/>
          <w:color w:val="FF0000"/>
          <w:spacing w:val="100"/>
          <w:sz w:val="72"/>
          <w:szCs w:val="144"/>
          <w:lang w:val="en-US" w:eastAsia="zh-CN"/>
        </w:rPr>
      </w:pPr>
    </w:p>
    <w:p w14:paraId="0F50FAC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华文中宋" w:hAnsi="华文中宋" w:eastAsia="华文中宋" w:cs="华文楷体"/>
          <w:b/>
          <w:bCs/>
          <w:color w:val="FF0000"/>
          <w:spacing w:val="100"/>
          <w:sz w:val="72"/>
          <w:szCs w:val="144"/>
          <w:lang w:val="en-US" w:eastAsia="zh-CN"/>
        </w:rPr>
      </w:pPr>
      <w:r>
        <w:rPr>
          <w:rFonts w:hint="eastAsia" w:ascii="华文中宋" w:hAnsi="华文中宋" w:eastAsia="华文中宋" w:cs="华文楷体"/>
          <w:b/>
          <w:bCs/>
          <w:color w:val="FF0000"/>
          <w:spacing w:val="100"/>
          <w:sz w:val="72"/>
          <w:szCs w:val="144"/>
          <w:lang w:val="en-US" w:eastAsia="zh-CN"/>
        </w:rPr>
        <w:t xml:space="preserve"> </w:t>
      </w:r>
    </w:p>
    <w:p w14:paraId="7AE75595">
      <w:pPr>
        <w:spacing w:line="360" w:lineRule="auto"/>
        <w:jc w:val="center"/>
        <w:rPr>
          <w:rFonts w:hint="eastAsia" w:ascii="仿宋_GB2312" w:hAnsi="Calibri" w:eastAsia="仿宋_GB2312" w:cs="Times New Roman"/>
          <w:color w:val="000000"/>
          <w:sz w:val="32"/>
          <w:szCs w:val="32"/>
        </w:rPr>
      </w:pPr>
    </w:p>
    <w:p w14:paraId="62FD19EF">
      <w:pPr>
        <w:spacing w:line="360" w:lineRule="auto"/>
        <w:jc w:val="center"/>
        <w:rPr>
          <w:rFonts w:hint="eastAsia" w:ascii="仿宋_GB2312" w:hAnsi="Calibri" w:eastAsia="仿宋_GB2312" w:cs="Times New Roman"/>
          <w:color w:val="000000"/>
          <w:sz w:val="32"/>
          <w:szCs w:val="32"/>
        </w:rPr>
      </w:pPr>
    </w:p>
    <w:p w14:paraId="7913CCBA">
      <w:pPr>
        <w:spacing w:line="360" w:lineRule="auto"/>
        <w:jc w:val="center"/>
        <w:rPr>
          <w:rFonts w:hint="eastAsia" w:ascii="仿宋_GB2312" w:hAnsi="Calibri" w:eastAsia="仿宋_GB2312" w:cs="Times New Roman"/>
          <w:color w:val="000000"/>
          <w:sz w:val="32"/>
          <w:szCs w:val="32"/>
        </w:rPr>
      </w:pPr>
    </w:p>
    <w:p w14:paraId="550B661F">
      <w:pPr>
        <w:spacing w:line="360" w:lineRule="auto"/>
        <w:jc w:val="center"/>
        <w:rPr>
          <w:rFonts w:ascii="华文中宋" w:hAnsi="华文中宋" w:eastAsia="华文中宋" w:cs="华文楷体"/>
          <w:b/>
          <w:bCs/>
          <w:color w:val="FF0000"/>
          <w:spacing w:val="100"/>
          <w:sz w:val="72"/>
          <w:szCs w:val="144"/>
        </w:rPr>
      </w:pPr>
      <w:r>
        <w:rPr>
          <w:rFonts w:hint="eastAsia" w:ascii="仿宋_GB2312" w:hAnsi="Calibri" w:eastAsia="仿宋_GB2312" w:cs="Times New Roman"/>
          <w:color w:val="000000"/>
          <w:sz w:val="32"/>
          <w:szCs w:val="32"/>
        </w:rPr>
        <w:t>北林研发〔202</w:t>
      </w:r>
      <w:r>
        <w:rPr>
          <w:rFonts w:hint="eastAsia" w:ascii="仿宋_GB2312" w:hAnsi="Calibri" w:eastAsia="仿宋_GB2312" w:cs="Times New Roman"/>
          <w:color w:val="000000"/>
          <w:sz w:val="32"/>
          <w:szCs w:val="32"/>
          <w:lang w:val="en-US" w:eastAsia="zh-CN"/>
        </w:rPr>
        <w:t>5</w:t>
      </w:r>
      <w:r>
        <w:rPr>
          <w:rFonts w:hint="eastAsia" w:ascii="仿宋_GB2312" w:hAnsi="Calibri" w:eastAsia="仿宋_GB2312" w:cs="Times New Roman"/>
          <w:color w:val="000000"/>
          <w:sz w:val="32"/>
          <w:szCs w:val="32"/>
        </w:rPr>
        <w:t>〕</w:t>
      </w:r>
      <w:r>
        <w:rPr>
          <w:rFonts w:hint="eastAsia" w:ascii="仿宋_GB2312" w:hAnsi="Calibri" w:eastAsia="仿宋_GB2312" w:cs="Times New Roman"/>
          <w:color w:val="000000"/>
          <w:sz w:val="32"/>
          <w:szCs w:val="32"/>
          <w:lang w:val="en-US" w:eastAsia="zh-CN"/>
        </w:rPr>
        <w:t>39</w:t>
      </w:r>
      <w:r>
        <w:rPr>
          <w:rFonts w:hint="eastAsia" w:ascii="仿宋_GB2312" w:hAnsi="Calibri" w:eastAsia="仿宋_GB2312" w:cs="Times New Roman"/>
          <w:color w:val="000000"/>
          <w:sz w:val="32"/>
          <w:szCs w:val="32"/>
        </w:rPr>
        <w:t>号</w:t>
      </w:r>
    </w:p>
    <w:p w14:paraId="5463D1D8">
      <w:pPr>
        <w:ind w:firstLine="4320" w:firstLineChars="1200"/>
        <w:rPr>
          <w:rFonts w:hint="eastAsia" w:ascii="小标宋" w:hAnsi="黑体" w:eastAsia="小标宋" w:cs="宋体"/>
          <w:kern w:val="0"/>
          <w:sz w:val="36"/>
          <w:szCs w:val="36"/>
          <w:lang w:val="en-US" w:eastAsia="zh-CN"/>
        </w:rPr>
      </w:pPr>
      <w:r>
        <w:rPr>
          <w:rFonts w:hint="eastAsia" w:ascii="小标宋" w:hAnsi="黑体" w:eastAsia="小标宋" w:cs="宋体"/>
          <w:kern w:val="0"/>
          <w:sz w:val="36"/>
          <w:szCs w:val="36"/>
          <w:lang w:val="en-US" w:eastAsia="zh-CN"/>
        </w:rPr>
        <w:t xml:space="preserve"> </w:t>
      </w:r>
    </w:p>
    <w:p w14:paraId="097F5477">
      <w:pPr>
        <w:spacing w:line="640" w:lineRule="exact"/>
        <w:jc w:val="center"/>
        <w:outlineLvl w:val="0"/>
        <w:rPr>
          <w:rFonts w:ascii="小标宋" w:hAnsi="小标宋" w:eastAsia="小标宋" w:cs="小标宋"/>
          <w:spacing w:val="-1"/>
          <w:sz w:val="44"/>
          <w:szCs w:val="44"/>
        </w:rPr>
      </w:pPr>
      <w:r>
        <w:rPr>
          <w:rFonts w:hint="eastAsia" w:ascii="小标宋" w:hAnsi="小标宋" w:eastAsia="小标宋" w:cs="小标宋"/>
          <w:spacing w:val="-1"/>
          <w:sz w:val="44"/>
          <w:szCs w:val="44"/>
        </w:rPr>
        <w:t>北京林业大</w:t>
      </w:r>
      <w:bookmarkStart w:id="12" w:name="_GoBack"/>
      <w:bookmarkEnd w:id="12"/>
      <w:r>
        <w:rPr>
          <w:rFonts w:hint="eastAsia" w:ascii="小标宋" w:hAnsi="小标宋" w:eastAsia="小标宋" w:cs="小标宋"/>
          <w:spacing w:val="-1"/>
          <w:sz w:val="44"/>
          <w:szCs w:val="44"/>
        </w:rPr>
        <w:t>学</w:t>
      </w:r>
    </w:p>
    <w:p w14:paraId="72E94633">
      <w:pPr>
        <w:spacing w:line="640" w:lineRule="exact"/>
        <w:jc w:val="center"/>
        <w:outlineLvl w:val="0"/>
        <w:rPr>
          <w:rFonts w:ascii="小标宋" w:hAnsi="小标宋" w:eastAsia="小标宋" w:cs="小标宋"/>
          <w:spacing w:val="-1"/>
          <w:sz w:val="44"/>
          <w:szCs w:val="44"/>
        </w:rPr>
      </w:pPr>
      <w:r>
        <w:rPr>
          <w:rFonts w:hint="eastAsia" w:ascii="小标宋" w:hAnsi="小标宋" w:eastAsia="小标宋" w:cs="小标宋"/>
          <w:spacing w:val="-1"/>
          <w:sz w:val="44"/>
          <w:szCs w:val="44"/>
        </w:rPr>
        <w:t>研究生导师认定及招生资格审核管理办法</w:t>
      </w:r>
    </w:p>
    <w:p w14:paraId="1D9E535A">
      <w:pPr>
        <w:spacing w:line="560" w:lineRule="exact"/>
        <w:ind w:firstLine="640"/>
        <w:jc w:val="center"/>
        <w:outlineLvl w:val="0"/>
        <w:rPr>
          <w:rFonts w:ascii="黑体" w:hAnsi="黑体" w:eastAsia="黑体" w:cs="黑体"/>
          <w:b/>
          <w:bCs/>
          <w:sz w:val="32"/>
          <w:szCs w:val="32"/>
        </w:rPr>
      </w:pPr>
      <w:bookmarkStart w:id="0" w:name="_Toc6112"/>
      <w:bookmarkStart w:id="1" w:name="_Toc18271"/>
    </w:p>
    <w:p w14:paraId="7F41C00A">
      <w:pPr>
        <w:spacing w:line="560" w:lineRule="exact"/>
        <w:jc w:val="center"/>
        <w:outlineLvl w:val="0"/>
        <w:rPr>
          <w:rFonts w:ascii="仿宋_GB2312" w:hAnsi="仿宋_GB2312" w:eastAsia="仿宋_GB2312" w:cs="仿宋_GB2312"/>
          <w:b/>
          <w:bCs/>
          <w:sz w:val="32"/>
          <w:szCs w:val="32"/>
        </w:rPr>
      </w:pPr>
      <w:r>
        <w:rPr>
          <w:rFonts w:hint="eastAsia" w:ascii="黑体" w:hAnsi="黑体" w:eastAsia="黑体" w:cs="黑体"/>
          <w:b/>
          <w:bCs/>
          <w:sz w:val="32"/>
          <w:szCs w:val="32"/>
        </w:rPr>
        <w:t>第一章  总则</w:t>
      </w:r>
      <w:bookmarkEnd w:id="0"/>
      <w:bookmarkEnd w:id="1"/>
    </w:p>
    <w:p w14:paraId="7B21B0A4">
      <w:pPr>
        <w:numPr>
          <w:ilvl w:val="255"/>
          <w:numId w:val="0"/>
        </w:numPr>
        <w:spacing w:line="560" w:lineRule="exact"/>
        <w:ind w:firstLine="643" w:firstLineChars="200"/>
        <w:rPr>
          <w:rFonts w:ascii="仿宋_GB2312" w:hAnsi="仿宋_GB2312" w:eastAsia="仿宋_GB2312" w:cs="仿宋_GB2312"/>
          <w:b/>
          <w:bCs/>
          <w:sz w:val="32"/>
          <w:szCs w:val="32"/>
        </w:rPr>
      </w:pPr>
      <w:r>
        <w:rPr>
          <w:rFonts w:hint="eastAsia" w:ascii="黑体" w:hAnsi="黑体" w:eastAsia="黑体" w:cs="黑体"/>
          <w:b/>
          <w:bCs/>
          <w:sz w:val="32"/>
          <w:szCs w:val="32"/>
        </w:rPr>
        <w:t>第一条</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kern w:val="0"/>
          <w:sz w:val="32"/>
          <w:szCs w:val="32"/>
        </w:rPr>
        <w:t>研究生导师是研究生培养的第一责任人，肩负着为国家培养高层次创新人才的重要使命。为深入学习贯彻党的二十届三中全会精神和全国教育大会精神，一体化推动教育、科技、人才高质量发展，加强研究生导师队伍建设，规范招生资格定期审核和动态调整，根据《中华人民共和国学位法》《教育部关于加强博士生导师岗位管理的若干意见》（教研〔2020〕11号）等相关要求，结合学校实际情况，特制定本办法。</w:t>
      </w:r>
    </w:p>
    <w:p w14:paraId="326C9CBD">
      <w:pPr>
        <w:pStyle w:val="3"/>
        <w:spacing w:line="560" w:lineRule="exact"/>
        <w:ind w:firstLine="643" w:firstLineChars="200"/>
        <w:rPr>
          <w:rFonts w:ascii="仿宋_GB2312" w:hAnsi="仿宋_GB2312" w:eastAsia="仿宋_GB2312" w:cs="仿宋_GB2312"/>
          <w:kern w:val="0"/>
          <w:sz w:val="32"/>
          <w:szCs w:val="32"/>
        </w:rPr>
      </w:pPr>
      <w:r>
        <w:rPr>
          <w:rFonts w:hint="eastAsia" w:ascii="黑体" w:hAnsi="黑体" w:eastAsia="黑体" w:cs="黑体"/>
          <w:b/>
          <w:bCs/>
          <w:sz w:val="32"/>
          <w:szCs w:val="32"/>
        </w:rPr>
        <w:t>第二条</w:t>
      </w:r>
      <w:r>
        <w:rPr>
          <w:rFonts w:hint="eastAsia" w:ascii="仿宋_GB2312" w:hAnsi="仿宋_GB2312" w:eastAsia="仿宋_GB2312" w:cs="仿宋_GB2312"/>
          <w:spacing w:val="-3"/>
          <w:sz w:val="32"/>
          <w:szCs w:val="32"/>
        </w:rPr>
        <w:t xml:space="preserve">  </w:t>
      </w:r>
      <w:r>
        <w:rPr>
          <w:rFonts w:hint="eastAsia" w:ascii="仿宋_GB2312" w:hAnsi="仿宋_GB2312" w:eastAsia="仿宋_GB2312" w:cs="仿宋_GB2312"/>
          <w:kern w:val="0"/>
          <w:sz w:val="32"/>
          <w:szCs w:val="32"/>
        </w:rPr>
        <w:t>研究生导师认定工作由校学位评定委员会授权校学位办公室组织开展。</w:t>
      </w:r>
    </w:p>
    <w:p w14:paraId="6242D9BC">
      <w:pPr>
        <w:pStyle w:val="3"/>
        <w:spacing w:line="560" w:lineRule="exact"/>
        <w:ind w:firstLine="643" w:firstLineChars="200"/>
        <w:rPr>
          <w:rFonts w:ascii="仿宋_GB2312" w:hAnsi="仿宋_GB2312" w:eastAsia="仿宋_GB2312" w:cs="仿宋_GB2312"/>
          <w:kern w:val="0"/>
          <w:sz w:val="32"/>
          <w:szCs w:val="32"/>
        </w:rPr>
      </w:pPr>
      <w:r>
        <w:rPr>
          <w:rFonts w:hint="eastAsia" w:ascii="黑体" w:hAnsi="黑体" w:eastAsia="黑体" w:cs="黑体"/>
          <w:b/>
          <w:bCs/>
          <w:sz w:val="32"/>
          <w:szCs w:val="32"/>
        </w:rPr>
        <w:t>第三条</w:t>
      </w:r>
      <w:r>
        <w:rPr>
          <w:rFonts w:hint="eastAsia" w:ascii="仿宋_GB2312" w:hAnsi="仿宋_GB2312" w:eastAsia="仿宋_GB2312" w:cs="仿宋_GB2312"/>
          <w:spacing w:val="-3"/>
          <w:sz w:val="32"/>
          <w:szCs w:val="32"/>
        </w:rPr>
        <w:t xml:space="preserve">  </w:t>
      </w:r>
      <w:r>
        <w:rPr>
          <w:rFonts w:hint="eastAsia" w:ascii="仿宋_GB2312" w:hAnsi="仿宋_GB2312" w:eastAsia="仿宋_GB2312" w:cs="仿宋_GB2312"/>
          <w:kern w:val="0"/>
          <w:sz w:val="32"/>
          <w:szCs w:val="32"/>
        </w:rPr>
        <w:t>研究生导师招生资格审核工作由校招生领导小组授权校研究生招生办公室组织开展。</w:t>
      </w:r>
    </w:p>
    <w:p w14:paraId="713C1D68">
      <w:pPr>
        <w:spacing w:line="560" w:lineRule="exact"/>
        <w:ind w:firstLine="643" w:firstLineChars="200"/>
        <w:rPr>
          <w:rFonts w:ascii="仿宋_GB2312" w:hAnsi="仿宋_GB2312" w:eastAsia="仿宋_GB2312" w:cs="仿宋_GB2312"/>
          <w:sz w:val="32"/>
          <w:szCs w:val="32"/>
        </w:rPr>
      </w:pPr>
      <w:r>
        <w:rPr>
          <w:rFonts w:hint="eastAsia" w:ascii="黑体" w:hAnsi="黑体" w:eastAsia="黑体" w:cs="黑体"/>
          <w:b/>
          <w:bCs/>
          <w:sz w:val="32"/>
          <w:szCs w:val="32"/>
        </w:rPr>
        <w:t>第四条</w:t>
      </w:r>
      <w:r>
        <w:rPr>
          <w:rFonts w:hint="eastAsia" w:ascii="仿宋_GB2312" w:hAnsi="仿宋_GB2312" w:eastAsia="仿宋_GB2312" w:cs="仿宋_GB2312"/>
          <w:spacing w:val="-3"/>
          <w:sz w:val="32"/>
          <w:szCs w:val="32"/>
        </w:rPr>
        <w:t xml:space="preserve">  工作原则：坚持标准、严格要求、保证质量、公正合理；加强青年教师</w:t>
      </w:r>
      <w:r>
        <w:rPr>
          <w:rFonts w:hint="eastAsia" w:ascii="仿宋" w:hAnsi="仿宋" w:eastAsia="仿宋" w:cs="仿宋_GB2312"/>
          <w:spacing w:val="-3"/>
          <w:sz w:val="32"/>
          <w:szCs w:val="32"/>
        </w:rPr>
        <w:t>培养、</w:t>
      </w:r>
      <w:r>
        <w:rPr>
          <w:rFonts w:hint="eastAsia" w:ascii="仿宋" w:hAnsi="仿宋" w:eastAsia="仿宋" w:cs="微软雅黑"/>
          <w:spacing w:val="-3"/>
          <w:sz w:val="32"/>
          <w:szCs w:val="32"/>
        </w:rPr>
        <w:t>支</w:t>
      </w:r>
      <w:r>
        <w:rPr>
          <w:rFonts w:hint="eastAsia" w:ascii="仿宋" w:hAnsi="仿宋" w:eastAsia="仿宋" w:cs="___WRD_EMBED_SUB_42"/>
          <w:spacing w:val="-3"/>
          <w:sz w:val="32"/>
          <w:szCs w:val="32"/>
        </w:rPr>
        <w:t>持</w:t>
      </w:r>
      <w:r>
        <w:rPr>
          <w:rFonts w:hint="eastAsia" w:ascii="仿宋" w:hAnsi="仿宋" w:eastAsia="仿宋" w:cs="仿宋_GB2312"/>
          <w:spacing w:val="-3"/>
          <w:sz w:val="32"/>
          <w:szCs w:val="32"/>
        </w:rPr>
        <w:t>和使用；</w:t>
      </w:r>
      <w:r>
        <w:rPr>
          <w:rFonts w:hint="eastAsia" w:ascii="仿宋_GB2312" w:hAnsi="仿宋_GB2312" w:eastAsia="仿宋_GB2312" w:cs="仿宋_GB2312"/>
          <w:sz w:val="32"/>
          <w:szCs w:val="32"/>
        </w:rPr>
        <w:t>研究生导师认定、招生资格审核、招生指标分配三者</w:t>
      </w:r>
      <w:r>
        <w:rPr>
          <w:rFonts w:hint="eastAsia" w:ascii="仿宋_GB2312" w:hAnsi="仿宋_GB2312" w:eastAsia="仿宋_GB2312" w:cs="仿宋_GB2312"/>
          <w:sz w:val="32"/>
          <w:szCs w:val="32"/>
          <w:lang w:val="en-US" w:eastAsia="zh-CN"/>
        </w:rPr>
        <w:t>相对独立</w:t>
      </w:r>
      <w:r>
        <w:rPr>
          <w:rFonts w:hint="eastAsia" w:ascii="仿宋_GB2312" w:hAnsi="仿宋_GB2312" w:eastAsia="仿宋_GB2312" w:cs="仿宋_GB2312"/>
          <w:sz w:val="32"/>
          <w:szCs w:val="32"/>
        </w:rPr>
        <w:t>。</w:t>
      </w:r>
    </w:p>
    <w:p w14:paraId="5EE78D14">
      <w:pPr>
        <w:spacing w:line="560" w:lineRule="exact"/>
        <w:jc w:val="center"/>
        <w:outlineLvl w:val="0"/>
        <w:rPr>
          <w:rFonts w:ascii="黑体" w:hAnsi="黑体" w:eastAsia="黑体" w:cs="黑体"/>
          <w:b/>
          <w:bCs/>
          <w:spacing w:val="-1"/>
          <w:sz w:val="32"/>
          <w:szCs w:val="32"/>
        </w:rPr>
      </w:pPr>
      <w:bookmarkStart w:id="2" w:name="_Toc29607"/>
      <w:bookmarkStart w:id="3" w:name="_Toc24658"/>
      <w:r>
        <w:rPr>
          <w:rFonts w:hint="eastAsia" w:ascii="黑体" w:hAnsi="黑体" w:eastAsia="黑体" w:cs="黑体"/>
          <w:b/>
          <w:bCs/>
          <w:spacing w:val="-1"/>
          <w:sz w:val="32"/>
          <w:szCs w:val="32"/>
        </w:rPr>
        <w:t>第二章  基本要求</w:t>
      </w:r>
    </w:p>
    <w:p w14:paraId="56E3A90F">
      <w:pPr>
        <w:pStyle w:val="3"/>
        <w:spacing w:line="560" w:lineRule="exact"/>
        <w:ind w:firstLine="643" w:firstLineChars="200"/>
        <w:rPr>
          <w:rFonts w:ascii="仿宋_GB2312" w:hAnsi="仿宋_GB2312" w:eastAsia="仿宋_GB2312" w:cs="仿宋_GB2312"/>
          <w:sz w:val="32"/>
          <w:szCs w:val="32"/>
        </w:rPr>
      </w:pPr>
      <w:r>
        <w:rPr>
          <w:rFonts w:hint="eastAsia" w:ascii="黑体" w:hAnsi="黑体" w:eastAsia="黑体" w:cs="黑体"/>
          <w:b/>
          <w:bCs/>
          <w:sz w:val="32"/>
          <w:szCs w:val="32"/>
        </w:rPr>
        <w:t>第五条</w:t>
      </w:r>
      <w:r>
        <w:rPr>
          <w:rFonts w:hint="eastAsia" w:ascii="仿宋_GB2312" w:hAnsi="仿宋_GB2312" w:eastAsia="仿宋_GB2312" w:cs="仿宋_GB2312"/>
          <w:spacing w:val="-6"/>
          <w:sz w:val="32"/>
          <w:szCs w:val="32"/>
        </w:rPr>
        <w:t xml:space="preserve">  政治素质。坚持正确的政治方向，拥护中国共产党的领导；具有高度的政治责任感，贯彻党的教育方针，严格执行国家教育政策，坚持为党育人、为国育才。</w:t>
      </w:r>
    </w:p>
    <w:p w14:paraId="095CF91B">
      <w:pPr>
        <w:pStyle w:val="3"/>
        <w:spacing w:line="560" w:lineRule="exact"/>
        <w:ind w:firstLine="643" w:firstLineChars="200"/>
        <w:rPr>
          <w:rFonts w:ascii="仿宋_GB2312" w:hAnsi="仿宋_GB2312" w:eastAsia="仿宋_GB2312" w:cs="仿宋_GB2312"/>
          <w:sz w:val="32"/>
          <w:szCs w:val="32"/>
        </w:rPr>
      </w:pPr>
      <w:r>
        <w:rPr>
          <w:rFonts w:hint="eastAsia" w:ascii="黑体" w:hAnsi="黑体" w:eastAsia="黑体" w:cs="黑体"/>
          <w:b/>
          <w:bCs/>
          <w:sz w:val="32"/>
          <w:szCs w:val="32"/>
        </w:rPr>
        <w:t>第六条</w:t>
      </w:r>
      <w:r>
        <w:rPr>
          <w:rFonts w:hint="eastAsia" w:ascii="仿宋_GB2312" w:hAnsi="仿宋_GB2312" w:eastAsia="仿宋_GB2312" w:cs="仿宋_GB2312"/>
          <w:spacing w:val="-6"/>
          <w:sz w:val="32"/>
          <w:szCs w:val="32"/>
        </w:rPr>
        <w:t xml:space="preserve">  岗位职责。</w:t>
      </w:r>
      <w:r>
        <w:rPr>
          <w:rFonts w:hint="eastAsia" w:ascii="仿宋_GB2312" w:hAnsi="仿宋_GB2312" w:eastAsia="仿宋_GB2312" w:cs="仿宋_GB2312"/>
          <w:spacing w:val="-8"/>
          <w:sz w:val="32"/>
          <w:szCs w:val="32"/>
        </w:rPr>
        <w:t>研究生导师应当为人师表，履行立德树人职责，关心爱护学生，指导学生开展相关学术研究和专业实践、遵守学术道德和学术规范、提高学术水平或者专业水平。</w:t>
      </w:r>
    </w:p>
    <w:p w14:paraId="1072A7F5">
      <w:pPr>
        <w:pStyle w:val="3"/>
        <w:spacing w:line="560" w:lineRule="exact"/>
        <w:ind w:firstLine="643" w:firstLineChars="200"/>
        <w:outlineLvl w:val="1"/>
        <w:rPr>
          <w:rFonts w:ascii="仿宋_GB2312" w:hAnsi="仿宋_GB2312" w:eastAsia="仿宋_GB2312" w:cs="仿宋_GB2312"/>
          <w:spacing w:val="-3"/>
          <w:sz w:val="32"/>
          <w:szCs w:val="32"/>
        </w:rPr>
      </w:pPr>
      <w:r>
        <w:rPr>
          <w:rFonts w:hint="eastAsia" w:ascii="黑体" w:hAnsi="黑体" w:eastAsia="黑体" w:cs="黑体"/>
          <w:b/>
          <w:bCs/>
          <w:sz w:val="32"/>
          <w:szCs w:val="32"/>
        </w:rPr>
        <w:t>第七条</w:t>
      </w:r>
      <w:r>
        <w:rPr>
          <w:rFonts w:hint="eastAsia" w:ascii="仿宋_GB2312" w:hAnsi="仿宋_GB2312" w:eastAsia="仿宋_GB2312" w:cs="仿宋_GB2312"/>
          <w:spacing w:val="-6"/>
          <w:sz w:val="32"/>
          <w:szCs w:val="32"/>
        </w:rPr>
        <w:t xml:space="preserve">  </w:t>
      </w:r>
      <w:r>
        <w:rPr>
          <w:rFonts w:hint="eastAsia" w:ascii="仿宋_GB2312" w:hAnsi="仿宋_GB2312" w:eastAsia="仿宋_GB2312" w:cs="仿宋_GB2312"/>
          <w:spacing w:val="-3"/>
          <w:sz w:val="32"/>
          <w:szCs w:val="32"/>
        </w:rPr>
        <w:t>年龄要求。</w:t>
      </w:r>
      <w:r>
        <w:rPr>
          <w:rFonts w:hint="eastAsia" w:ascii="仿宋" w:hAnsi="仿宋" w:eastAsia="仿宋" w:cs="微软雅黑"/>
          <w:spacing w:val="-3"/>
          <w:sz w:val="32"/>
          <w:szCs w:val="32"/>
        </w:rPr>
        <w:t>身</w:t>
      </w:r>
      <w:r>
        <w:rPr>
          <w:rFonts w:hint="eastAsia" w:ascii="仿宋" w:hAnsi="仿宋" w:eastAsia="仿宋" w:cs="___WRD_EMBED_SUB_42"/>
          <w:spacing w:val="-3"/>
          <w:sz w:val="32"/>
          <w:szCs w:val="32"/>
        </w:rPr>
        <w:t>心</w:t>
      </w:r>
      <w:r>
        <w:rPr>
          <w:rFonts w:hint="eastAsia" w:ascii="仿宋" w:hAnsi="仿宋" w:eastAsia="仿宋" w:cs="微软雅黑"/>
          <w:spacing w:val="-3"/>
          <w:sz w:val="32"/>
          <w:szCs w:val="32"/>
        </w:rPr>
        <w:t>健康</w:t>
      </w:r>
      <w:r>
        <w:rPr>
          <w:rFonts w:hint="eastAsia" w:ascii="仿宋" w:hAnsi="仿宋" w:eastAsia="仿宋" w:cs="___WRD_EMBED_SUB_42"/>
          <w:spacing w:val="-3"/>
          <w:sz w:val="32"/>
          <w:szCs w:val="32"/>
        </w:rPr>
        <w:t>，</w:t>
      </w:r>
      <w:r>
        <w:rPr>
          <w:rFonts w:hint="eastAsia" w:ascii="仿宋" w:hAnsi="仿宋" w:eastAsia="仿宋" w:cs="仿宋_GB2312"/>
          <w:spacing w:val="-3"/>
          <w:sz w:val="32"/>
          <w:szCs w:val="32"/>
        </w:rPr>
        <w:t>导师认定及招生资格审核原则上要求退休前能够完整指导一届研究生（</w:t>
      </w:r>
      <w:r>
        <w:rPr>
          <w:rFonts w:hint="eastAsia" w:ascii="仿宋_GB2312" w:hAnsi="仿宋_GB2312" w:eastAsia="仿宋_GB2312" w:cs="仿宋_GB2312"/>
          <w:spacing w:val="-3"/>
          <w:sz w:val="32"/>
          <w:szCs w:val="32"/>
        </w:rPr>
        <w:t>以博士生学制4年、硕士生学制3年计）。</w:t>
      </w:r>
    </w:p>
    <w:p w14:paraId="26C7FEFC">
      <w:pPr>
        <w:spacing w:line="560" w:lineRule="exact"/>
        <w:jc w:val="center"/>
        <w:outlineLvl w:val="0"/>
        <w:rPr>
          <w:rFonts w:ascii="黑体" w:hAnsi="黑体" w:eastAsia="黑体" w:cs="黑体"/>
          <w:b/>
          <w:bCs/>
          <w:sz w:val="32"/>
          <w:szCs w:val="32"/>
        </w:rPr>
      </w:pPr>
      <w:r>
        <w:rPr>
          <w:rFonts w:hint="eastAsia" w:ascii="黑体" w:hAnsi="黑体" w:eastAsia="黑体" w:cs="黑体"/>
          <w:b/>
          <w:bCs/>
          <w:spacing w:val="-1"/>
          <w:sz w:val="32"/>
          <w:szCs w:val="32"/>
        </w:rPr>
        <w:t>第三章  导师</w:t>
      </w:r>
      <w:bookmarkEnd w:id="2"/>
      <w:bookmarkEnd w:id="3"/>
      <w:r>
        <w:rPr>
          <w:rFonts w:hint="eastAsia" w:ascii="黑体" w:hAnsi="黑体" w:eastAsia="黑体" w:cs="黑体"/>
          <w:b/>
          <w:bCs/>
          <w:spacing w:val="-1"/>
          <w:sz w:val="32"/>
          <w:szCs w:val="32"/>
        </w:rPr>
        <w:t>认定</w:t>
      </w:r>
    </w:p>
    <w:p w14:paraId="138415F6">
      <w:pPr>
        <w:pStyle w:val="3"/>
        <w:spacing w:line="560" w:lineRule="exact"/>
        <w:ind w:firstLine="639" w:firstLineChars="200"/>
        <w:outlineLvl w:val="1"/>
        <w:rPr>
          <w:rFonts w:ascii="黑体" w:hAnsi="黑体" w:eastAsia="仿宋_GB2312" w:cs="黑体"/>
          <w:b/>
          <w:bCs/>
          <w:sz w:val="32"/>
          <w:szCs w:val="32"/>
        </w:rPr>
      </w:pPr>
      <w:bookmarkStart w:id="4" w:name="_Toc18600"/>
      <w:bookmarkStart w:id="5" w:name="_Toc1010"/>
      <w:r>
        <w:rPr>
          <w:rFonts w:hint="eastAsia" w:ascii="黑体" w:hAnsi="黑体" w:eastAsia="黑体" w:cs="黑体"/>
          <w:b/>
          <w:bCs/>
          <w:spacing w:val="-1"/>
          <w:sz w:val="32"/>
          <w:szCs w:val="32"/>
        </w:rPr>
        <w:t xml:space="preserve">第八条  </w:t>
      </w:r>
      <w:bookmarkEnd w:id="4"/>
      <w:bookmarkEnd w:id="5"/>
      <w:r>
        <w:rPr>
          <w:rFonts w:hint="eastAsia" w:ascii="仿宋_GB2312" w:hAnsi="仿宋_GB2312" w:eastAsia="仿宋_GB2312" w:cs="仿宋_GB2312"/>
          <w:spacing w:val="-1"/>
          <w:sz w:val="32"/>
          <w:szCs w:val="32"/>
        </w:rPr>
        <w:t>认定标准。</w:t>
      </w:r>
    </w:p>
    <w:p w14:paraId="758FCFDC">
      <w:pPr>
        <w:pStyle w:val="3"/>
        <w:spacing w:line="560" w:lineRule="exact"/>
        <w:ind w:firstLine="616" w:firstLineChars="200"/>
        <w:outlineLvl w:val="1"/>
        <w:rPr>
          <w:rFonts w:ascii="仿宋_GB2312" w:hAnsi="仿宋_GB2312" w:eastAsia="仿宋_GB2312" w:cs="仿宋_GB2312"/>
          <w:b/>
          <w:bCs/>
          <w:spacing w:val="-1"/>
          <w:sz w:val="32"/>
          <w:szCs w:val="32"/>
        </w:rPr>
      </w:pPr>
      <w:r>
        <w:rPr>
          <w:rFonts w:hint="eastAsia" w:ascii="仿宋_GB2312" w:hAnsi="仿宋_GB2312" w:eastAsia="仿宋_GB2312" w:cs="仿宋_GB2312"/>
          <w:spacing w:val="-6"/>
          <w:sz w:val="32"/>
          <w:szCs w:val="32"/>
        </w:rPr>
        <w:t>（一）</w:t>
      </w:r>
      <w:r>
        <w:rPr>
          <w:rFonts w:hint="eastAsia" w:ascii="仿宋_GB2312" w:hAnsi="仿宋_GB2312" w:eastAsia="仿宋_GB2312" w:cs="仿宋_GB2312"/>
          <w:spacing w:val="-1"/>
          <w:sz w:val="32"/>
          <w:szCs w:val="32"/>
        </w:rPr>
        <w:t>导师资格认定</w:t>
      </w:r>
    </w:p>
    <w:p w14:paraId="3A513675">
      <w:pPr>
        <w:pStyle w:val="3"/>
        <w:spacing w:line="560" w:lineRule="exact"/>
        <w:ind w:firstLine="636" w:firstLineChars="200"/>
        <w:outlineLvl w:val="1"/>
        <w:rPr>
          <w:rFonts w:ascii="仿宋_GB2312" w:hAnsi="仿宋_GB2312" w:eastAsia="仿宋_GB2312" w:cs="仿宋_GB2312"/>
          <w:spacing w:val="-1"/>
          <w:sz w:val="32"/>
          <w:szCs w:val="32"/>
        </w:rPr>
      </w:pPr>
      <w:r>
        <w:rPr>
          <w:rFonts w:hint="eastAsia" w:ascii="仿宋_GB2312" w:hAnsi="仿宋_GB2312" w:eastAsia="仿宋_GB2312" w:cs="仿宋_GB2312"/>
          <w:spacing w:val="-1"/>
          <w:sz w:val="32"/>
          <w:szCs w:val="32"/>
        </w:rPr>
        <w:t>本校教师系列在岗专任教师，具备博士学位的可认定为硕士生导师，具备正高级专业技术职务的可认定为博士生导师</w:t>
      </w:r>
      <w:r>
        <w:rPr>
          <w:rFonts w:hint="eastAsia" w:ascii="仿宋_GB2312" w:hAnsi="仿宋_GB2312" w:eastAsia="仿宋_GB2312" w:cs="仿宋_GB2312"/>
          <w:spacing w:val="-1"/>
          <w:sz w:val="32"/>
          <w:szCs w:val="32"/>
          <w:lang w:eastAsia="zh-CN"/>
        </w:rPr>
        <w:t>；</w:t>
      </w:r>
      <w:r>
        <w:rPr>
          <w:rFonts w:hint="eastAsia" w:ascii="仿宋_GB2312" w:hAnsi="仿宋_GB2312" w:eastAsia="仿宋_GB2312" w:cs="仿宋_GB2312"/>
          <w:spacing w:val="-1"/>
          <w:sz w:val="32"/>
          <w:szCs w:val="32"/>
        </w:rPr>
        <w:t>引进人才按</w:t>
      </w:r>
      <w:r>
        <w:rPr>
          <w:rFonts w:hint="eastAsia" w:ascii="仿宋_GB2312" w:hAnsi="仿宋_GB2312" w:eastAsia="仿宋_GB2312" w:cs="仿宋_GB2312"/>
          <w:spacing w:val="-1"/>
          <w:sz w:val="32"/>
          <w:szCs w:val="32"/>
          <w:lang w:val="en-US" w:eastAsia="zh-CN"/>
        </w:rPr>
        <w:t>学校</w:t>
      </w:r>
      <w:r>
        <w:rPr>
          <w:rFonts w:hint="eastAsia" w:ascii="仿宋_GB2312" w:hAnsi="仿宋_GB2312" w:eastAsia="仿宋_GB2312" w:cs="仿宋_GB2312"/>
          <w:spacing w:val="-1"/>
          <w:sz w:val="32"/>
          <w:szCs w:val="32"/>
        </w:rPr>
        <w:t>审议结论直接认定。</w:t>
      </w:r>
    </w:p>
    <w:p w14:paraId="75685B1C">
      <w:pPr>
        <w:pStyle w:val="3"/>
        <w:spacing w:line="560" w:lineRule="exact"/>
        <w:ind w:firstLine="616" w:firstLineChars="200"/>
        <w:outlineLvl w:val="1"/>
        <w:rPr>
          <w:rFonts w:ascii="仿宋_GB2312" w:hAnsi="仿宋_GB2312" w:eastAsia="仿宋_GB2312" w:cs="仿宋_GB2312"/>
          <w:spacing w:val="-1"/>
          <w:sz w:val="32"/>
          <w:szCs w:val="32"/>
        </w:rPr>
      </w:pPr>
      <w:r>
        <w:rPr>
          <w:rFonts w:hint="eastAsia" w:ascii="仿宋_GB2312" w:hAnsi="仿宋_GB2312" w:eastAsia="仿宋_GB2312" w:cs="仿宋_GB2312"/>
          <w:spacing w:val="-6"/>
          <w:sz w:val="32"/>
          <w:szCs w:val="32"/>
        </w:rPr>
        <w:t>（二）</w:t>
      </w:r>
      <w:r>
        <w:rPr>
          <w:rFonts w:hint="eastAsia" w:ascii="仿宋_GB2312" w:hAnsi="仿宋_GB2312" w:eastAsia="仿宋_GB2312" w:cs="仿宋_GB2312"/>
          <w:spacing w:val="-1"/>
          <w:sz w:val="32"/>
          <w:szCs w:val="32"/>
        </w:rPr>
        <w:t>破格申报博士生导师</w:t>
      </w:r>
    </w:p>
    <w:p w14:paraId="37501AA5">
      <w:pPr>
        <w:pStyle w:val="3"/>
        <w:spacing w:line="560" w:lineRule="exact"/>
        <w:ind w:firstLine="636" w:firstLineChars="200"/>
        <w:outlineLvl w:val="1"/>
        <w:rPr>
          <w:rFonts w:ascii="仿宋_GB2312" w:hAnsi="仿宋_GB2312" w:eastAsia="仿宋_GB2312" w:cs="仿宋_GB2312"/>
          <w:spacing w:val="-1"/>
          <w:sz w:val="32"/>
          <w:szCs w:val="32"/>
        </w:rPr>
      </w:pPr>
      <w:r>
        <w:rPr>
          <w:rFonts w:hint="eastAsia" w:ascii="仿宋_GB2312" w:hAnsi="仿宋_GB2312" w:eastAsia="仿宋_GB2312" w:cs="仿宋_GB2312"/>
          <w:spacing w:val="-1"/>
          <w:sz w:val="32"/>
          <w:szCs w:val="32"/>
        </w:rPr>
        <w:t>中级或副高级在岗专任教师申报博士生导师，须满足以下经费和学术成果要求（相关标准依据学校事业发展动态调整）：</w:t>
      </w:r>
    </w:p>
    <w:p w14:paraId="664A60C3">
      <w:pPr>
        <w:pStyle w:val="6"/>
        <w:widowControl/>
        <w:numPr>
          <w:ilvl w:val="0"/>
          <w:numId w:val="0"/>
        </w:numPr>
        <w:spacing w:beforeAutospacing="0" w:afterAutospacing="0" w:line="560" w:lineRule="exact"/>
        <w:ind w:firstLine="636" w:firstLineChars="200"/>
        <w:jc w:val="both"/>
        <w:rPr>
          <w:rFonts w:hint="eastAsia" w:ascii="仿宋_GB2312" w:hAnsi="仿宋_GB2312" w:eastAsia="仿宋_GB2312" w:cs="仿宋_GB2312"/>
          <w:spacing w:val="-1"/>
          <w:sz w:val="32"/>
          <w:szCs w:val="32"/>
          <w:lang w:val="en-US" w:eastAsia="zh-CN"/>
        </w:rPr>
      </w:pPr>
      <w:r>
        <w:rPr>
          <w:rFonts w:hint="eastAsia" w:ascii="仿宋_GB2312" w:hAnsi="仿宋_GB2312" w:eastAsia="仿宋_GB2312" w:cs="仿宋_GB2312"/>
          <w:spacing w:val="-1"/>
          <w:kern w:val="0"/>
          <w:sz w:val="32"/>
          <w:szCs w:val="32"/>
          <w:lang w:val="en-US" w:eastAsia="zh-CN" w:bidi="ar-SA"/>
        </w:rPr>
        <w:t>1.要求</w:t>
      </w:r>
      <w:r>
        <w:rPr>
          <w:rFonts w:hint="eastAsia" w:ascii="仿宋_GB2312" w:hAnsi="仿宋_GB2312" w:eastAsia="仿宋_GB2312" w:cs="仿宋_GB2312"/>
          <w:spacing w:val="-1"/>
          <w:sz w:val="32"/>
          <w:szCs w:val="32"/>
        </w:rPr>
        <w:t>近3年</w:t>
      </w:r>
      <w:r>
        <w:rPr>
          <w:rFonts w:hint="eastAsia" w:ascii="仿宋_GB2312" w:hAnsi="仿宋_GB2312" w:eastAsia="仿宋_GB2312" w:cs="仿宋_GB2312"/>
          <w:spacing w:val="-1"/>
          <w:sz w:val="32"/>
          <w:szCs w:val="32"/>
          <w:lang w:val="en-US" w:eastAsia="zh-CN"/>
        </w:rPr>
        <w:t>项目或经费满足以下条件之一：</w:t>
      </w:r>
    </w:p>
    <w:p w14:paraId="5710DE70">
      <w:pPr>
        <w:pStyle w:val="6"/>
        <w:widowControl/>
        <w:numPr>
          <w:ilvl w:val="0"/>
          <w:numId w:val="0"/>
        </w:numPr>
        <w:spacing w:beforeAutospacing="0" w:afterAutospacing="0" w:line="560" w:lineRule="exact"/>
        <w:ind w:firstLine="636" w:firstLineChars="200"/>
        <w:jc w:val="both"/>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w:t>
      </w:r>
      <w:r>
        <w:rPr>
          <w:rFonts w:hint="eastAsia" w:ascii="仿宋_GB2312" w:hAnsi="仿宋_GB2312" w:eastAsia="仿宋_GB2312" w:cs="仿宋_GB2312"/>
          <w:spacing w:val="-1"/>
          <w:sz w:val="32"/>
          <w:szCs w:val="32"/>
          <w:lang w:val="en-US" w:eastAsia="zh-CN"/>
        </w:rPr>
        <w:t>1）</w:t>
      </w:r>
      <w:r>
        <w:rPr>
          <w:rFonts w:hint="eastAsia" w:ascii="仿宋_GB2312" w:hAnsi="仿宋_GB2312" w:eastAsia="仿宋_GB2312" w:cs="仿宋_GB2312"/>
          <w:spacing w:val="-1"/>
          <w:sz w:val="32"/>
          <w:szCs w:val="32"/>
        </w:rPr>
        <w:t>主持过国家自然（社会）科学基金（面上）项目</w:t>
      </w:r>
      <w:r>
        <w:rPr>
          <w:rFonts w:hint="eastAsia" w:ascii="仿宋_GB2312" w:hAnsi="仿宋_GB2312" w:eastAsia="仿宋_GB2312" w:cs="仿宋_GB2312"/>
          <w:spacing w:val="-1"/>
          <w:sz w:val="32"/>
          <w:szCs w:val="32"/>
          <w:lang w:eastAsia="zh-CN"/>
        </w:rPr>
        <w:t>；</w:t>
      </w:r>
    </w:p>
    <w:p w14:paraId="5470F12E">
      <w:pPr>
        <w:pStyle w:val="6"/>
        <w:widowControl/>
        <w:numPr>
          <w:ilvl w:val="0"/>
          <w:numId w:val="0"/>
        </w:numPr>
        <w:spacing w:beforeAutospacing="0" w:afterAutospacing="0" w:line="560" w:lineRule="exact"/>
        <w:ind w:firstLine="636" w:firstLineChars="200"/>
        <w:jc w:val="both"/>
        <w:rPr>
          <w:rFonts w:hint="eastAsia" w:ascii="仿宋_GB2312" w:hAnsi="仿宋_GB2312" w:eastAsia="仿宋_GB2312" w:cs="仿宋_GB2312"/>
          <w:spacing w:val="-1"/>
          <w:sz w:val="32"/>
          <w:szCs w:val="32"/>
          <w:lang w:eastAsia="zh-CN"/>
        </w:rPr>
      </w:pPr>
      <w:r>
        <w:rPr>
          <w:rFonts w:hint="eastAsia" w:ascii="仿宋_GB2312" w:hAnsi="仿宋_GB2312" w:eastAsia="仿宋_GB2312" w:cs="仿宋_GB2312"/>
          <w:spacing w:val="-1"/>
          <w:sz w:val="32"/>
          <w:szCs w:val="32"/>
          <w:lang w:eastAsia="zh-CN"/>
        </w:rPr>
        <w:t>（</w:t>
      </w:r>
      <w:r>
        <w:rPr>
          <w:rFonts w:hint="eastAsia" w:ascii="仿宋_GB2312" w:hAnsi="仿宋_GB2312" w:eastAsia="仿宋_GB2312" w:cs="仿宋_GB2312"/>
          <w:spacing w:val="-1"/>
          <w:sz w:val="32"/>
          <w:szCs w:val="32"/>
          <w:lang w:val="en-US" w:eastAsia="zh-CN"/>
        </w:rPr>
        <w:t>2）承担</w:t>
      </w:r>
      <w:r>
        <w:rPr>
          <w:rFonts w:hint="eastAsia" w:ascii="仿宋_GB2312" w:hAnsi="仿宋_GB2312" w:eastAsia="仿宋_GB2312" w:cs="仿宋_GB2312"/>
          <w:spacing w:val="-1"/>
          <w:sz w:val="32"/>
          <w:szCs w:val="32"/>
        </w:rPr>
        <w:t>单</w:t>
      </w:r>
      <w:r>
        <w:rPr>
          <w:rFonts w:hint="eastAsia" w:ascii="仿宋_GB2312" w:hAnsi="仿宋_GB2312" w:eastAsia="仿宋_GB2312" w:cs="仿宋_GB2312"/>
          <w:spacing w:val="-1"/>
          <w:sz w:val="32"/>
          <w:szCs w:val="32"/>
          <w:lang w:val="en-US" w:eastAsia="zh-CN"/>
        </w:rPr>
        <w:t>个</w:t>
      </w:r>
      <w:r>
        <w:rPr>
          <w:rFonts w:hint="eastAsia" w:ascii="仿宋_GB2312" w:hAnsi="仿宋_GB2312" w:eastAsia="仿宋_GB2312" w:cs="仿宋_GB2312"/>
          <w:spacing w:val="-1"/>
          <w:sz w:val="32"/>
          <w:szCs w:val="32"/>
        </w:rPr>
        <w:t>纵向科研项目立项经费自然科学类不低于50万元、人文社科类不低于20万元</w:t>
      </w:r>
      <w:r>
        <w:rPr>
          <w:rFonts w:hint="eastAsia" w:ascii="仿宋_GB2312" w:hAnsi="仿宋_GB2312" w:eastAsia="仿宋_GB2312" w:cs="仿宋_GB2312"/>
          <w:spacing w:val="-1"/>
          <w:sz w:val="32"/>
          <w:szCs w:val="32"/>
          <w:lang w:eastAsia="zh-CN"/>
        </w:rPr>
        <w:t>；</w:t>
      </w:r>
    </w:p>
    <w:p w14:paraId="4E1F5C7B">
      <w:pPr>
        <w:pStyle w:val="6"/>
        <w:widowControl/>
        <w:numPr>
          <w:ilvl w:val="0"/>
          <w:numId w:val="0"/>
        </w:numPr>
        <w:spacing w:beforeAutospacing="0" w:afterAutospacing="0" w:line="560" w:lineRule="exact"/>
        <w:ind w:firstLine="636" w:firstLineChars="200"/>
        <w:jc w:val="both"/>
        <w:rPr>
          <w:rFonts w:hint="default" w:ascii="仿宋_GB2312" w:hAnsi="仿宋_GB2312" w:eastAsia="仿宋_GB2312" w:cs="仿宋_GB2312"/>
          <w:spacing w:val="-1"/>
          <w:sz w:val="32"/>
          <w:szCs w:val="32"/>
          <w:lang w:val="en-US" w:eastAsia="zh-CN"/>
        </w:rPr>
      </w:pPr>
      <w:r>
        <w:rPr>
          <w:rFonts w:hint="eastAsia" w:ascii="仿宋_GB2312" w:hAnsi="仿宋_GB2312" w:eastAsia="仿宋_GB2312" w:cs="仿宋_GB2312"/>
          <w:spacing w:val="-1"/>
          <w:sz w:val="32"/>
          <w:szCs w:val="32"/>
          <w:lang w:val="en-US" w:eastAsia="zh-CN"/>
        </w:rPr>
        <w:t>（3）</w:t>
      </w:r>
      <w:r>
        <w:rPr>
          <w:rFonts w:hint="eastAsia" w:ascii="仿宋_GB2312" w:hAnsi="仿宋_GB2312" w:eastAsia="仿宋_GB2312" w:cs="仿宋_GB2312"/>
          <w:spacing w:val="-1"/>
          <w:sz w:val="32"/>
          <w:szCs w:val="32"/>
        </w:rPr>
        <w:t>横向科研项目到账经费自然科学类单</w:t>
      </w:r>
      <w:r>
        <w:rPr>
          <w:rFonts w:hint="eastAsia" w:ascii="仿宋_GB2312" w:hAnsi="仿宋_GB2312" w:eastAsia="仿宋_GB2312" w:cs="仿宋_GB2312"/>
          <w:spacing w:val="-1"/>
          <w:sz w:val="32"/>
          <w:szCs w:val="32"/>
          <w:lang w:val="en-US" w:eastAsia="zh-CN"/>
        </w:rPr>
        <w:t>个项目</w:t>
      </w:r>
      <w:r>
        <w:rPr>
          <w:rFonts w:hint="eastAsia" w:ascii="仿宋_GB2312" w:hAnsi="仿宋_GB2312" w:eastAsia="仿宋_GB2312" w:cs="仿宋_GB2312"/>
          <w:spacing w:val="-1"/>
          <w:sz w:val="32"/>
          <w:szCs w:val="32"/>
        </w:rPr>
        <w:t>不低于100万元、人文社科类单</w:t>
      </w:r>
      <w:r>
        <w:rPr>
          <w:rFonts w:hint="eastAsia" w:ascii="仿宋_GB2312" w:hAnsi="仿宋_GB2312" w:eastAsia="仿宋_GB2312" w:cs="仿宋_GB2312"/>
          <w:spacing w:val="-1"/>
          <w:sz w:val="32"/>
          <w:szCs w:val="32"/>
          <w:lang w:val="en-US" w:eastAsia="zh-CN"/>
        </w:rPr>
        <w:t>个项目</w:t>
      </w:r>
      <w:r>
        <w:rPr>
          <w:rFonts w:hint="eastAsia" w:ascii="仿宋_GB2312" w:hAnsi="仿宋_GB2312" w:eastAsia="仿宋_GB2312" w:cs="仿宋_GB2312"/>
          <w:spacing w:val="-1"/>
          <w:sz w:val="32"/>
          <w:szCs w:val="32"/>
        </w:rPr>
        <w:t>不低于50万元</w:t>
      </w:r>
      <w:r>
        <w:rPr>
          <w:rFonts w:hint="eastAsia" w:ascii="仿宋_GB2312" w:hAnsi="仿宋_GB2312" w:eastAsia="仿宋_GB2312" w:cs="仿宋_GB2312"/>
          <w:spacing w:val="-1"/>
          <w:sz w:val="32"/>
          <w:szCs w:val="32"/>
          <w:lang w:eastAsia="zh-CN"/>
        </w:rPr>
        <w:t>；</w:t>
      </w:r>
      <w:r>
        <w:rPr>
          <w:rFonts w:hint="eastAsia" w:ascii="仿宋_GB2312" w:hAnsi="仿宋_GB2312" w:eastAsia="仿宋_GB2312" w:cs="仿宋_GB2312"/>
          <w:spacing w:val="-1"/>
          <w:sz w:val="32"/>
          <w:szCs w:val="32"/>
          <w:lang w:val="en-US" w:eastAsia="zh-CN"/>
        </w:rPr>
        <w:t>多个横向项目累计到账经费要求翻倍。</w:t>
      </w:r>
    </w:p>
    <w:p w14:paraId="4C2F7C69">
      <w:pPr>
        <w:pStyle w:val="3"/>
        <w:spacing w:line="560" w:lineRule="exact"/>
        <w:ind w:firstLine="636" w:firstLineChars="200"/>
        <w:outlineLvl w:val="1"/>
        <w:rPr>
          <w:rFonts w:ascii="仿宋_GB2312" w:hAnsi="仿宋_GB2312" w:eastAsia="仿宋_GB2312" w:cs="仿宋_GB2312"/>
          <w:spacing w:val="-1"/>
          <w:sz w:val="32"/>
          <w:szCs w:val="32"/>
        </w:rPr>
      </w:pPr>
      <w:r>
        <w:rPr>
          <w:rFonts w:hint="eastAsia" w:ascii="仿宋_GB2312" w:hAnsi="仿宋_GB2312" w:eastAsia="仿宋_GB2312" w:cs="仿宋_GB2312"/>
          <w:spacing w:val="-1"/>
          <w:sz w:val="32"/>
          <w:szCs w:val="32"/>
        </w:rPr>
        <w:t>2.在本学科专业及相关领域取得过</w:t>
      </w:r>
      <w:r>
        <w:rPr>
          <w:rFonts w:hint="eastAsia" w:ascii="仿宋_GB2312" w:hAnsi="仿宋_GB2312" w:eastAsia="仿宋_GB2312" w:cs="仿宋_GB2312"/>
          <w:spacing w:val="-1"/>
          <w:sz w:val="32"/>
          <w:szCs w:val="32"/>
          <w:lang w:val="en-US" w:eastAsia="zh-CN"/>
        </w:rPr>
        <w:t>标志性</w:t>
      </w:r>
      <w:r>
        <w:rPr>
          <w:rFonts w:hint="eastAsia" w:ascii="仿宋_GB2312" w:hAnsi="仿宋_GB2312" w:eastAsia="仿宋_GB2312" w:cs="仿宋_GB2312"/>
          <w:spacing w:val="-1"/>
          <w:sz w:val="32"/>
          <w:szCs w:val="32"/>
        </w:rPr>
        <w:t>的学术成果。</w:t>
      </w:r>
    </w:p>
    <w:p w14:paraId="7DF3E89A">
      <w:pPr>
        <w:pStyle w:val="3"/>
        <w:numPr>
          <w:ilvl w:val="255"/>
          <w:numId w:val="0"/>
        </w:numPr>
        <w:spacing w:line="560" w:lineRule="exact"/>
        <w:ind w:firstLine="643" w:firstLineChars="200"/>
        <w:outlineLvl w:val="1"/>
        <w:rPr>
          <w:rFonts w:ascii="黑体" w:hAnsi="黑体" w:eastAsia="仿宋_GB2312" w:cs="黑体"/>
          <w:b/>
          <w:bCs/>
          <w:sz w:val="32"/>
          <w:szCs w:val="32"/>
        </w:rPr>
      </w:pPr>
      <w:bookmarkStart w:id="6" w:name="_Toc5732"/>
      <w:r>
        <w:rPr>
          <w:rFonts w:hint="eastAsia" w:ascii="黑体" w:hAnsi="黑体" w:eastAsia="黑体" w:cs="黑体"/>
          <w:b/>
          <w:bCs/>
          <w:sz w:val="32"/>
          <w:szCs w:val="32"/>
        </w:rPr>
        <w:t xml:space="preserve">第九条  </w:t>
      </w:r>
      <w:r>
        <w:rPr>
          <w:rFonts w:hint="eastAsia" w:ascii="仿宋_GB2312" w:hAnsi="仿宋_GB2312" w:eastAsia="仿宋_GB2312" w:cs="仿宋_GB2312"/>
          <w:sz w:val="32"/>
          <w:szCs w:val="32"/>
        </w:rPr>
        <w:t>认定程序。</w:t>
      </w:r>
    </w:p>
    <w:p w14:paraId="28E74A00">
      <w:pPr>
        <w:pStyle w:val="3"/>
        <w:ind w:firstLine="636"/>
        <w:outlineLvl w:val="1"/>
        <w:rPr>
          <w:rFonts w:hint="eastAsia" w:ascii="仿宋_GB2312" w:hAnsi="仿宋_GB2312" w:eastAsia="仿宋_GB2312" w:cs="仿宋_GB2312"/>
          <w:spacing w:val="-1"/>
          <w:sz w:val="32"/>
          <w:szCs w:val="32"/>
        </w:rPr>
      </w:pPr>
      <w:r>
        <w:rPr>
          <w:rFonts w:ascii="仿宋_GB2312" w:hAnsi="仿宋_GB2312" w:eastAsia="仿宋_GB2312" w:cs="仿宋_GB2312"/>
          <w:spacing w:val="-1"/>
          <w:sz w:val="32"/>
          <w:szCs w:val="32"/>
        </w:rPr>
        <w:t>（一）</w:t>
      </w:r>
      <w:r>
        <w:rPr>
          <w:rFonts w:hint="eastAsia" w:ascii="仿宋_GB2312" w:hAnsi="仿宋_GB2312" w:eastAsia="仿宋_GB2312" w:cs="仿宋_GB2312"/>
          <w:spacing w:val="-1"/>
          <w:sz w:val="32"/>
          <w:szCs w:val="32"/>
        </w:rPr>
        <w:t>所在学院对</w:t>
      </w:r>
      <w:r>
        <w:rPr>
          <w:rFonts w:hint="eastAsia" w:ascii="仿宋_GB2312" w:hAnsi="仿宋_GB2312" w:eastAsia="仿宋_GB2312" w:cs="仿宋_GB2312"/>
          <w:spacing w:val="-1"/>
          <w:sz w:val="32"/>
          <w:szCs w:val="32"/>
          <w:lang w:val="en-US" w:eastAsia="zh-CN"/>
        </w:rPr>
        <w:t>拟</w:t>
      </w:r>
      <w:r>
        <w:rPr>
          <w:rFonts w:hint="eastAsia" w:ascii="仿宋_GB2312" w:hAnsi="仿宋_GB2312" w:eastAsia="仿宋_GB2312" w:cs="仿宋_GB2312"/>
          <w:spacing w:val="-1"/>
          <w:sz w:val="32"/>
          <w:szCs w:val="32"/>
        </w:rPr>
        <w:t>申报</w:t>
      </w:r>
      <w:r>
        <w:rPr>
          <w:rFonts w:hint="eastAsia" w:ascii="仿宋_GB2312" w:hAnsi="仿宋_GB2312" w:eastAsia="仿宋_GB2312" w:cs="仿宋_GB2312"/>
          <w:spacing w:val="-1"/>
          <w:sz w:val="32"/>
          <w:szCs w:val="32"/>
          <w:lang w:val="en-US" w:eastAsia="zh-CN"/>
        </w:rPr>
        <w:t>导师资格的在岗专任教师开展</w:t>
      </w:r>
      <w:r>
        <w:rPr>
          <w:rFonts w:hint="eastAsia" w:ascii="仿宋_GB2312" w:hAnsi="仿宋_GB2312" w:eastAsia="仿宋_GB2312" w:cs="仿宋_GB2312"/>
          <w:spacing w:val="-1"/>
          <w:sz w:val="32"/>
          <w:szCs w:val="32"/>
        </w:rPr>
        <w:t>综合测评</w:t>
      </w:r>
      <w:r>
        <w:rPr>
          <w:rFonts w:hint="eastAsia" w:ascii="仿宋_GB2312" w:hAnsi="仿宋_GB2312" w:eastAsia="仿宋_GB2312" w:cs="仿宋_GB2312"/>
          <w:spacing w:val="-1"/>
          <w:sz w:val="32"/>
          <w:szCs w:val="32"/>
          <w:lang w:eastAsia="zh-CN"/>
        </w:rPr>
        <w:t>，</w:t>
      </w:r>
      <w:r>
        <w:rPr>
          <w:rFonts w:hint="eastAsia" w:ascii="仿宋_GB2312" w:hAnsi="仿宋_GB2312" w:eastAsia="仿宋_GB2312" w:cs="仿宋_GB2312"/>
          <w:spacing w:val="-1"/>
          <w:sz w:val="32"/>
          <w:szCs w:val="32"/>
        </w:rPr>
        <w:t>纪委办监察处、党委教师工作部对申报人的遵规守纪、师德师风情况进行审查。</w:t>
      </w:r>
      <w:r>
        <w:rPr>
          <w:rFonts w:hint="eastAsia" w:ascii="仿宋_GB2312" w:hAnsi="仿宋_GB2312" w:eastAsia="仿宋_GB2312" w:cs="仿宋_GB2312"/>
          <w:spacing w:val="-1"/>
          <w:sz w:val="32"/>
          <w:szCs w:val="32"/>
          <w:lang w:val="en-US" w:eastAsia="zh-CN"/>
        </w:rPr>
        <w:t>拟</w:t>
      </w:r>
      <w:r>
        <w:rPr>
          <w:rFonts w:hint="eastAsia" w:ascii="仿宋_GB2312" w:hAnsi="仿宋_GB2312" w:eastAsia="仿宋_GB2312" w:cs="仿宋_GB2312"/>
          <w:spacing w:val="-1"/>
          <w:sz w:val="32"/>
          <w:szCs w:val="32"/>
        </w:rPr>
        <w:t>申报</w:t>
      </w:r>
      <w:r>
        <w:rPr>
          <w:rFonts w:hint="eastAsia" w:ascii="仿宋_GB2312" w:hAnsi="仿宋_GB2312" w:eastAsia="仿宋_GB2312" w:cs="仿宋_GB2312"/>
          <w:spacing w:val="-1"/>
          <w:sz w:val="32"/>
          <w:szCs w:val="32"/>
          <w:lang w:val="en-US" w:eastAsia="zh-CN"/>
        </w:rPr>
        <w:t>教师要求近3年年度考核合格及以上。</w:t>
      </w:r>
    </w:p>
    <w:p w14:paraId="076A1EDB">
      <w:pPr>
        <w:pStyle w:val="3"/>
        <w:ind w:firstLine="636"/>
        <w:outlineLvl w:val="1"/>
        <w:rPr>
          <w:rFonts w:hint="default" w:ascii="仿宋_GB2312" w:hAnsi="仿宋_GB2312" w:eastAsia="仿宋_GB2312" w:cs="仿宋_GB2312"/>
          <w:spacing w:val="-1"/>
          <w:sz w:val="32"/>
          <w:szCs w:val="32"/>
          <w:lang w:val="en-US" w:eastAsia="zh-CN"/>
        </w:rPr>
      </w:pPr>
      <w:r>
        <w:rPr>
          <w:rFonts w:hint="eastAsia" w:ascii="仿宋_GB2312" w:hAnsi="仿宋_GB2312" w:eastAsia="仿宋_GB2312" w:cs="仿宋_GB2312"/>
          <w:spacing w:val="-1"/>
          <w:sz w:val="32"/>
          <w:szCs w:val="32"/>
        </w:rPr>
        <w:t>新入职、新晋升专业技术职务的专任教师思想政治</w:t>
      </w:r>
      <w:r>
        <w:rPr>
          <w:rFonts w:hint="eastAsia" w:ascii="仿宋_GB2312" w:hAnsi="仿宋_GB2312" w:eastAsia="仿宋_GB2312" w:cs="仿宋_GB2312"/>
          <w:spacing w:val="-1"/>
          <w:sz w:val="32"/>
          <w:szCs w:val="32"/>
          <w:lang w:eastAsia="zh-CN"/>
        </w:rPr>
        <w:t>、</w:t>
      </w:r>
      <w:r>
        <w:rPr>
          <w:rFonts w:hint="eastAsia" w:ascii="仿宋_GB2312" w:hAnsi="仿宋_GB2312" w:eastAsia="仿宋_GB2312" w:cs="仿宋_GB2312"/>
          <w:spacing w:val="-1"/>
          <w:sz w:val="32"/>
          <w:szCs w:val="32"/>
        </w:rPr>
        <w:t>遵规守纪、</w:t>
      </w:r>
      <w:r>
        <w:rPr>
          <w:rFonts w:hint="eastAsia" w:ascii="仿宋_GB2312" w:hAnsi="仿宋_GB2312" w:eastAsia="仿宋_GB2312" w:cs="仿宋_GB2312"/>
          <w:spacing w:val="-1"/>
          <w:sz w:val="32"/>
          <w:szCs w:val="32"/>
          <w:lang w:val="en-US" w:eastAsia="zh-CN"/>
        </w:rPr>
        <w:t>师德师风</w:t>
      </w:r>
      <w:r>
        <w:rPr>
          <w:rFonts w:hint="eastAsia" w:ascii="仿宋_GB2312" w:hAnsi="仿宋_GB2312" w:eastAsia="仿宋_GB2312" w:cs="仿宋_GB2312"/>
          <w:spacing w:val="-1"/>
          <w:sz w:val="32"/>
          <w:szCs w:val="32"/>
        </w:rPr>
        <w:t>等审查材料依据人事处相关结论。</w:t>
      </w:r>
    </w:p>
    <w:p w14:paraId="639E7B49">
      <w:pPr>
        <w:pStyle w:val="6"/>
        <w:widowControl/>
        <w:spacing w:beforeAutospacing="0" w:afterAutospacing="0" w:line="560" w:lineRule="exact"/>
        <w:ind w:firstLine="636" w:firstLineChars="200"/>
        <w:jc w:val="both"/>
        <w:rPr>
          <w:rFonts w:ascii="仿宋" w:hAnsi="仿宋" w:eastAsia="仿宋" w:cs="仿宋_GB2312"/>
          <w:spacing w:val="-1"/>
          <w:sz w:val="32"/>
          <w:szCs w:val="32"/>
        </w:rPr>
      </w:pPr>
      <w:r>
        <w:rPr>
          <w:rFonts w:hint="eastAsia" w:ascii="仿宋" w:hAnsi="仿宋" w:eastAsia="仿宋" w:cs="仿宋_GB2312"/>
          <w:spacing w:val="-1"/>
          <w:sz w:val="32"/>
          <w:szCs w:val="32"/>
          <w:lang w:val="en-US" w:eastAsia="zh-CN"/>
        </w:rPr>
        <w:t>（二）</w:t>
      </w:r>
      <w:r>
        <w:rPr>
          <w:rFonts w:hint="eastAsia" w:ascii="仿宋" w:hAnsi="仿宋" w:eastAsia="仿宋" w:cs="仿宋_GB2312"/>
          <w:spacing w:val="-1"/>
          <w:sz w:val="32"/>
          <w:szCs w:val="32"/>
        </w:rPr>
        <w:t>通过</w:t>
      </w:r>
      <w:r>
        <w:rPr>
          <w:rFonts w:hint="eastAsia" w:ascii="仿宋" w:hAnsi="仿宋" w:eastAsia="仿宋" w:cs="___WRD_EMBED_SUB_42"/>
          <w:spacing w:val="-1"/>
          <w:sz w:val="32"/>
          <w:szCs w:val="32"/>
        </w:rPr>
        <w:t>测评和审查的在岗专任教师由学校认定为相对应研究生导师。</w:t>
      </w:r>
      <w:r>
        <w:rPr>
          <w:rFonts w:hint="eastAsia" w:ascii="仿宋" w:hAnsi="仿宋" w:eastAsia="仿宋" w:cs="仿宋_GB2312"/>
          <w:spacing w:val="-1"/>
          <w:sz w:val="32"/>
          <w:szCs w:val="32"/>
        </w:rPr>
        <w:t>校学位办公室对破格申报博士生导师人员组织专家评审，择优认定。</w:t>
      </w:r>
    </w:p>
    <w:p w14:paraId="2978843D">
      <w:pPr>
        <w:pStyle w:val="3"/>
        <w:spacing w:line="560" w:lineRule="exact"/>
        <w:jc w:val="center"/>
        <w:outlineLvl w:val="1"/>
        <w:rPr>
          <w:rFonts w:ascii="黑体" w:hAnsi="黑体" w:eastAsia="黑体" w:cs="黑体"/>
          <w:b/>
          <w:bCs/>
          <w:sz w:val="32"/>
          <w:szCs w:val="32"/>
        </w:rPr>
      </w:pPr>
      <w:r>
        <w:rPr>
          <w:rFonts w:hint="eastAsia" w:ascii="黑体" w:hAnsi="黑体" w:eastAsia="黑体" w:cs="黑体"/>
          <w:b/>
          <w:bCs/>
          <w:sz w:val="32"/>
          <w:szCs w:val="32"/>
        </w:rPr>
        <w:t>第四章  招生资格审核</w:t>
      </w:r>
    </w:p>
    <w:p w14:paraId="0C44E6C5">
      <w:pPr>
        <w:pStyle w:val="3"/>
        <w:spacing w:line="560" w:lineRule="exact"/>
        <w:ind w:firstLine="643" w:firstLineChars="200"/>
        <w:outlineLvl w:val="1"/>
        <w:rPr>
          <w:rFonts w:ascii="仿宋_GB2312" w:hAnsi="仿宋_GB2312" w:eastAsia="仿宋_GB2312" w:cs="仿宋_GB2312"/>
          <w:sz w:val="32"/>
          <w:szCs w:val="32"/>
        </w:rPr>
      </w:pPr>
      <w:r>
        <w:rPr>
          <w:rFonts w:hint="eastAsia" w:ascii="黑体" w:hAnsi="黑体" w:eastAsia="黑体" w:cs="黑体"/>
          <w:b/>
          <w:bCs/>
          <w:sz w:val="32"/>
          <w:szCs w:val="32"/>
        </w:rPr>
        <w:t>第十条</w:t>
      </w:r>
      <w:r>
        <w:rPr>
          <w:rFonts w:hint="eastAsia" w:ascii="仿宋_GB2312" w:hAnsi="仿宋_GB2312" w:eastAsia="仿宋_GB2312" w:cs="仿宋_GB2312"/>
          <w:sz w:val="32"/>
          <w:szCs w:val="32"/>
        </w:rPr>
        <w:t xml:space="preserve">  招生学科专业分类。</w:t>
      </w:r>
      <w:bookmarkEnd w:id="6"/>
    </w:p>
    <w:p w14:paraId="33EF2A75">
      <w:pPr>
        <w:pStyle w:val="3"/>
        <w:spacing w:line="560" w:lineRule="exact"/>
        <w:ind w:firstLine="640" w:firstLineChars="20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（一）博士Ⅰ类学科专业包含：农林经济管理一级学科，生态文明建设、家具设计与工程自设二级学科。博士Ⅱ类学科专业包含：除Ⅰ类以外的其他学科专业。</w:t>
      </w:r>
    </w:p>
    <w:p w14:paraId="7101F7FC">
      <w:pPr>
        <w:pStyle w:val="3"/>
        <w:spacing w:line="560" w:lineRule="exact"/>
        <w:ind w:firstLine="640" w:firstLineChars="20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（二）硕士Ⅰ类学科专业包含：哲学、经济学、法学、教育学、文学、管理学和艺术学门类；数学一级学科；家具设计与工程自设二级学科。硕士Ⅱ类学科专业包含：除Ⅰ类以外的其他学科专业。</w:t>
      </w:r>
    </w:p>
    <w:p w14:paraId="51410901">
      <w:pPr>
        <w:pStyle w:val="3"/>
        <w:spacing w:line="560" w:lineRule="exact"/>
        <w:ind w:firstLine="643" w:firstLineChars="200"/>
        <w:outlineLvl w:val="1"/>
        <w:rPr>
          <w:rFonts w:eastAsia="仿宋_GB2312"/>
        </w:rPr>
      </w:pPr>
      <w:r>
        <w:rPr>
          <w:rFonts w:hint="eastAsia" w:ascii="黑体" w:hAnsi="黑体" w:eastAsia="黑体" w:cs="黑体"/>
          <w:b/>
          <w:bCs/>
          <w:sz w:val="32"/>
          <w:szCs w:val="32"/>
        </w:rPr>
        <w:t>第十一条</w:t>
      </w:r>
      <w:r>
        <w:rPr>
          <w:rFonts w:hint="eastAsia" w:ascii="仿宋_GB2312" w:hAnsi="仿宋_GB2312" w:eastAsia="仿宋_GB2312" w:cs="仿宋_GB2312"/>
          <w:sz w:val="32"/>
          <w:szCs w:val="32"/>
        </w:rPr>
        <w:t xml:space="preserve">  招生资格审核条件</w:t>
      </w:r>
      <w:r>
        <w:rPr>
          <w:rFonts w:hint="eastAsia" w:ascii="仿宋_GB2312" w:hAnsi="仿宋_GB2312" w:eastAsia="仿宋_GB2312" w:cs="仿宋_GB2312"/>
          <w:spacing w:val="-1"/>
          <w:sz w:val="32"/>
          <w:szCs w:val="32"/>
        </w:rPr>
        <w:t>。</w:t>
      </w:r>
    </w:p>
    <w:p w14:paraId="2ADC15B6">
      <w:pPr>
        <w:pStyle w:val="3"/>
        <w:spacing w:line="560" w:lineRule="exact"/>
        <w:ind w:firstLine="636" w:firstLineChars="200"/>
        <w:outlineLvl w:val="1"/>
        <w:rPr>
          <w:rFonts w:ascii="仿宋_GB2312" w:hAnsi="仿宋_GB2312" w:eastAsia="仿宋_GB2312" w:cs="仿宋_GB2312"/>
          <w:spacing w:val="-1"/>
          <w:sz w:val="32"/>
          <w:szCs w:val="32"/>
        </w:rPr>
      </w:pPr>
      <w:r>
        <w:rPr>
          <w:rFonts w:hint="eastAsia" w:ascii="仿宋_GB2312" w:hAnsi="仿宋_GB2312" w:eastAsia="仿宋_GB2312" w:cs="仿宋_GB2312"/>
          <w:spacing w:val="-1"/>
          <w:sz w:val="32"/>
          <w:szCs w:val="32"/>
        </w:rPr>
        <w:t>导师应具有充足的科研经费、取得较突出的学术成果，近3年内有新增科研项目和到账经费，并按学校有关规定发放助研岗位津贴。</w:t>
      </w:r>
    </w:p>
    <w:p w14:paraId="1BD77657">
      <w:pPr>
        <w:pStyle w:val="3"/>
        <w:spacing w:line="560" w:lineRule="exact"/>
        <w:ind w:firstLine="636" w:firstLineChars="200"/>
        <w:outlineLvl w:val="1"/>
        <w:rPr>
          <w:rFonts w:ascii="仿宋_GB2312" w:hAnsi="仿宋_GB2312" w:eastAsia="仿宋_GB2312" w:cs="仿宋_GB2312"/>
          <w:spacing w:val="-1"/>
          <w:sz w:val="32"/>
          <w:szCs w:val="32"/>
        </w:rPr>
      </w:pPr>
      <w:r>
        <w:rPr>
          <w:rFonts w:hint="eastAsia" w:ascii="仿宋_GB2312" w:hAnsi="仿宋_GB2312" w:eastAsia="仿宋_GB2312" w:cs="仿宋_GB2312"/>
          <w:spacing w:val="-1"/>
          <w:sz w:val="32"/>
          <w:szCs w:val="32"/>
        </w:rPr>
        <w:t>（一）招收博士研究生</w:t>
      </w:r>
    </w:p>
    <w:p w14:paraId="7E15C69B">
      <w:pPr>
        <w:pStyle w:val="3"/>
        <w:spacing w:line="560" w:lineRule="exact"/>
        <w:ind w:firstLine="636" w:firstLineChars="200"/>
        <w:outlineLvl w:val="1"/>
        <w:rPr>
          <w:rFonts w:ascii="仿宋_GB2312" w:hAnsi="仿宋_GB2312" w:eastAsia="仿宋_GB2312" w:cs="仿宋_GB2312"/>
          <w:spacing w:val="-1"/>
          <w:sz w:val="32"/>
          <w:szCs w:val="32"/>
        </w:rPr>
      </w:pPr>
      <w:r>
        <w:rPr>
          <w:rFonts w:hint="eastAsia" w:ascii="仿宋_GB2312" w:hAnsi="仿宋_GB2312" w:eastAsia="仿宋_GB2312" w:cs="仿宋_GB2312"/>
          <w:spacing w:val="-1"/>
          <w:sz w:val="32"/>
          <w:szCs w:val="32"/>
        </w:rPr>
        <w:t>Ⅰ类学科专业要求结余经费或未来3年的纵向合同</w:t>
      </w:r>
      <w:r>
        <w:rPr>
          <w:rFonts w:hint="eastAsia" w:ascii="仿宋_GB2312" w:hAnsi="仿宋_GB2312" w:eastAsia="仿宋_GB2312" w:cs="仿宋_GB2312"/>
          <w:spacing w:val="-1"/>
          <w:sz w:val="32"/>
          <w:szCs w:val="32"/>
          <w:lang w:val="en-US" w:eastAsia="zh-CN"/>
        </w:rPr>
        <w:t>校留</w:t>
      </w:r>
      <w:r>
        <w:rPr>
          <w:rFonts w:hint="eastAsia" w:ascii="仿宋_GB2312" w:hAnsi="仿宋_GB2312" w:eastAsia="仿宋_GB2312" w:cs="仿宋_GB2312"/>
          <w:spacing w:val="-1"/>
          <w:sz w:val="32"/>
          <w:szCs w:val="32"/>
        </w:rPr>
        <w:t>经费不少于10万元。Ⅱ类学科专业要求结余经费或未来3年的纵向合同</w:t>
      </w:r>
      <w:r>
        <w:rPr>
          <w:rFonts w:hint="eastAsia" w:ascii="仿宋_GB2312" w:hAnsi="仿宋_GB2312" w:eastAsia="仿宋_GB2312" w:cs="仿宋_GB2312"/>
          <w:spacing w:val="-1"/>
          <w:sz w:val="32"/>
          <w:szCs w:val="32"/>
          <w:lang w:val="en-US" w:eastAsia="zh-CN"/>
        </w:rPr>
        <w:t>校留</w:t>
      </w:r>
      <w:r>
        <w:rPr>
          <w:rFonts w:hint="eastAsia" w:ascii="仿宋_GB2312" w:hAnsi="仿宋_GB2312" w:eastAsia="仿宋_GB2312" w:cs="仿宋_GB2312"/>
          <w:spacing w:val="-1"/>
          <w:sz w:val="32"/>
          <w:szCs w:val="32"/>
        </w:rPr>
        <w:t>经费不少于20万元。原则上导师需满足为指导的每名博士研究生（含在读和拟招收博士生）提供2万元（Ⅰ类）或5万元（Ⅱ类）的科研经费。</w:t>
      </w:r>
    </w:p>
    <w:p w14:paraId="79A309C5">
      <w:pPr>
        <w:pStyle w:val="3"/>
        <w:spacing w:line="560" w:lineRule="exact"/>
        <w:ind w:firstLine="636" w:firstLineChars="200"/>
        <w:outlineLvl w:val="1"/>
        <w:rPr>
          <w:rFonts w:ascii="仿宋_GB2312" w:hAnsi="仿宋_GB2312" w:eastAsia="仿宋_GB2312" w:cs="仿宋_GB2312"/>
          <w:spacing w:val="-1"/>
          <w:sz w:val="32"/>
          <w:szCs w:val="32"/>
        </w:rPr>
      </w:pPr>
      <w:r>
        <w:rPr>
          <w:rFonts w:hint="eastAsia" w:ascii="仿宋_GB2312" w:hAnsi="仿宋_GB2312" w:eastAsia="仿宋_GB2312" w:cs="仿宋_GB2312"/>
          <w:spacing w:val="-1"/>
          <w:sz w:val="32"/>
          <w:szCs w:val="32"/>
        </w:rPr>
        <w:t>（二）招收硕士研究生</w:t>
      </w:r>
    </w:p>
    <w:p w14:paraId="0BC07B20">
      <w:pPr>
        <w:pStyle w:val="3"/>
        <w:spacing w:line="560" w:lineRule="exact"/>
        <w:ind w:firstLine="636" w:firstLineChars="200"/>
        <w:outlineLvl w:val="1"/>
        <w:rPr>
          <w:rFonts w:ascii="仿宋_GB2312" w:hAnsi="仿宋_GB2312" w:eastAsia="仿宋_GB2312" w:cs="仿宋_GB2312"/>
          <w:spacing w:val="-1"/>
          <w:sz w:val="32"/>
          <w:szCs w:val="32"/>
        </w:rPr>
      </w:pPr>
      <w:r>
        <w:rPr>
          <w:rFonts w:hint="eastAsia" w:ascii="仿宋_GB2312" w:hAnsi="仿宋_GB2312" w:eastAsia="仿宋_GB2312" w:cs="仿宋_GB2312"/>
          <w:spacing w:val="-1"/>
          <w:sz w:val="32"/>
          <w:szCs w:val="32"/>
        </w:rPr>
        <w:t>Ⅰ类学科专业要求结余经费或未来3年的纵向合同</w:t>
      </w:r>
      <w:r>
        <w:rPr>
          <w:rFonts w:hint="eastAsia" w:ascii="仿宋_GB2312" w:hAnsi="仿宋_GB2312" w:eastAsia="仿宋_GB2312" w:cs="仿宋_GB2312"/>
          <w:spacing w:val="-1"/>
          <w:sz w:val="32"/>
          <w:szCs w:val="32"/>
          <w:lang w:val="en-US" w:eastAsia="zh-CN"/>
        </w:rPr>
        <w:t>校留</w:t>
      </w:r>
      <w:r>
        <w:rPr>
          <w:rFonts w:hint="eastAsia" w:ascii="仿宋_GB2312" w:hAnsi="仿宋_GB2312" w:eastAsia="仿宋_GB2312" w:cs="仿宋_GB2312"/>
          <w:spacing w:val="-1"/>
          <w:sz w:val="32"/>
          <w:szCs w:val="32"/>
        </w:rPr>
        <w:t>经费不少于3万元。Ⅱ类学科专业要求结余经费或未来3年的纵向合同</w:t>
      </w:r>
      <w:r>
        <w:rPr>
          <w:rFonts w:hint="eastAsia" w:ascii="仿宋_GB2312" w:hAnsi="仿宋_GB2312" w:eastAsia="仿宋_GB2312" w:cs="仿宋_GB2312"/>
          <w:spacing w:val="-1"/>
          <w:sz w:val="32"/>
          <w:szCs w:val="32"/>
          <w:lang w:val="en-US" w:eastAsia="zh-CN"/>
        </w:rPr>
        <w:t>校留</w:t>
      </w:r>
      <w:r>
        <w:rPr>
          <w:rFonts w:hint="eastAsia" w:ascii="仿宋_GB2312" w:hAnsi="仿宋_GB2312" w:eastAsia="仿宋_GB2312" w:cs="仿宋_GB2312"/>
          <w:spacing w:val="-1"/>
          <w:sz w:val="32"/>
          <w:szCs w:val="32"/>
        </w:rPr>
        <w:t>经费不少于5万元。原则上导师需满足为指导的每名硕士研究生（含在读和拟招收硕士生）提供1万元（Ⅰ类）或2万元（Ⅱ类）的科研经费。</w:t>
      </w:r>
    </w:p>
    <w:p w14:paraId="736D79CC">
      <w:pPr>
        <w:pStyle w:val="3"/>
        <w:numPr>
          <w:ilvl w:val="0"/>
          <w:numId w:val="0"/>
        </w:numPr>
        <w:spacing w:line="560" w:lineRule="exact"/>
        <w:ind w:firstLine="636" w:firstLineChars="200"/>
        <w:outlineLvl w:val="1"/>
        <w:rPr>
          <w:rFonts w:hint="eastAsia" w:ascii="仿宋_GB2312" w:hAnsi="仿宋_GB2312" w:eastAsia="仿宋_GB2312" w:cs="仿宋_GB2312"/>
          <w:spacing w:val="-1"/>
          <w:sz w:val="32"/>
          <w:szCs w:val="32"/>
          <w:highlight w:val="none"/>
        </w:rPr>
      </w:pPr>
      <w:r>
        <w:rPr>
          <w:rFonts w:hint="eastAsia" w:ascii="仿宋_GB2312" w:hAnsi="仿宋_GB2312" w:eastAsia="仿宋_GB2312" w:cs="仿宋_GB2312"/>
          <w:spacing w:val="-1"/>
          <w:kern w:val="2"/>
          <w:sz w:val="32"/>
          <w:szCs w:val="32"/>
          <w:lang w:val="en-US" w:eastAsia="zh-CN" w:bidi="ar-SA"/>
        </w:rPr>
        <w:t>（三）</w:t>
      </w:r>
      <w:r>
        <w:rPr>
          <w:rFonts w:hint="eastAsia" w:ascii="仿宋_GB2312" w:hAnsi="仿宋_GB2312" w:eastAsia="仿宋_GB2312" w:cs="仿宋_GB2312"/>
          <w:spacing w:val="-1"/>
          <w:sz w:val="32"/>
          <w:szCs w:val="32"/>
        </w:rPr>
        <w:t>对承担国家重大战略需求、公益服务保障及公共课基</w:t>
      </w:r>
      <w:r>
        <w:rPr>
          <w:rFonts w:hint="eastAsia" w:ascii="仿宋_GB2312" w:hAnsi="仿宋_GB2312" w:eastAsia="仿宋_GB2312" w:cs="仿宋_GB2312"/>
          <w:spacing w:val="-1"/>
          <w:sz w:val="32"/>
          <w:szCs w:val="32"/>
          <w:highlight w:val="none"/>
        </w:rPr>
        <w:t>础教学的导师，其招生资格由学校专项审议。</w:t>
      </w:r>
    </w:p>
    <w:p w14:paraId="4229A818">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6" w:firstLineChars="200"/>
        <w:textAlignment w:val="auto"/>
        <w:outlineLvl w:val="1"/>
        <w:rPr>
          <w:rFonts w:hint="eastAsia" w:ascii="仿宋_GB2312" w:hAnsi="仿宋_GB2312" w:eastAsia="仿宋_GB2312" w:cs="仿宋_GB2312"/>
          <w:spacing w:val="-1"/>
          <w:sz w:val="32"/>
          <w:szCs w:val="32"/>
          <w:highlight w:val="none"/>
          <w:lang w:val="en-US" w:eastAsia="zh-CN"/>
        </w:rPr>
      </w:pPr>
      <w:r>
        <w:rPr>
          <w:rFonts w:hint="eastAsia" w:ascii="仿宋_GB2312" w:hAnsi="仿宋_GB2312" w:eastAsia="仿宋_GB2312" w:cs="仿宋_GB2312"/>
          <w:spacing w:val="-1"/>
          <w:sz w:val="32"/>
          <w:szCs w:val="32"/>
          <w:highlight w:val="none"/>
        </w:rPr>
        <w:t>（四）</w:t>
      </w:r>
      <w:r>
        <w:rPr>
          <w:rFonts w:hint="eastAsia" w:ascii="仿宋_GB2312" w:hAnsi="仿宋_GB2312" w:eastAsia="仿宋_GB2312" w:cs="仿宋_GB2312"/>
          <w:spacing w:val="-1"/>
          <w:sz w:val="32"/>
          <w:szCs w:val="32"/>
          <w:highlight w:val="none"/>
          <w:lang w:val="en-US" w:eastAsia="zh-CN"/>
        </w:rPr>
        <w:t>对</w:t>
      </w:r>
      <w:r>
        <w:rPr>
          <w:rFonts w:hint="eastAsia" w:ascii="仿宋_GB2312" w:hAnsi="仿宋_GB2312" w:eastAsia="仿宋_GB2312" w:cs="仿宋_GB2312"/>
          <w:spacing w:val="-1"/>
          <w:sz w:val="32"/>
          <w:szCs w:val="32"/>
          <w:highlight w:val="none"/>
        </w:rPr>
        <w:t>学校引进人才</w:t>
      </w:r>
      <w:r>
        <w:rPr>
          <w:rFonts w:hint="eastAsia" w:ascii="仿宋_GB2312" w:hAnsi="仿宋_GB2312" w:eastAsia="仿宋_GB2312" w:cs="仿宋_GB2312"/>
          <w:spacing w:val="-1"/>
          <w:sz w:val="32"/>
          <w:szCs w:val="32"/>
          <w:highlight w:val="none"/>
          <w:lang w:eastAsia="zh-CN"/>
        </w:rPr>
        <w:t>，</w:t>
      </w:r>
      <w:r>
        <w:rPr>
          <w:rFonts w:hint="eastAsia" w:ascii="仿宋_GB2312" w:hAnsi="仿宋_GB2312" w:eastAsia="仿宋_GB2312" w:cs="仿宋_GB2312"/>
          <w:spacing w:val="-1"/>
          <w:sz w:val="32"/>
          <w:szCs w:val="32"/>
          <w:highlight w:val="none"/>
        </w:rPr>
        <w:t>来校工作3年内，</w:t>
      </w:r>
      <w:r>
        <w:rPr>
          <w:rFonts w:hint="eastAsia" w:ascii="仿宋_GB2312" w:hAnsi="仿宋_GB2312" w:eastAsia="仿宋_GB2312" w:cs="仿宋_GB2312"/>
          <w:spacing w:val="-1"/>
          <w:sz w:val="32"/>
          <w:szCs w:val="32"/>
          <w:highlight w:val="none"/>
          <w:lang w:val="en-US" w:eastAsia="zh-CN"/>
        </w:rPr>
        <w:t>可免于招生资格审核。</w:t>
      </w:r>
    </w:p>
    <w:p w14:paraId="5BCD6D5F">
      <w:pPr>
        <w:pStyle w:val="3"/>
        <w:spacing w:line="560" w:lineRule="exact"/>
        <w:ind w:firstLine="636" w:firstLineChars="200"/>
        <w:outlineLvl w:val="1"/>
        <w:rPr>
          <w:rFonts w:ascii="仿宋_GB2312" w:hAnsi="仿宋_GB2312" w:eastAsia="仿宋_GB2312" w:cs="仿宋_GB2312"/>
          <w:spacing w:val="-1"/>
          <w:sz w:val="32"/>
          <w:szCs w:val="32"/>
        </w:rPr>
      </w:pPr>
      <w:r>
        <w:rPr>
          <w:rFonts w:hint="eastAsia" w:ascii="仿宋_GB2312" w:hAnsi="仿宋_GB2312" w:eastAsia="仿宋_GB2312" w:cs="仿宋_GB2312"/>
          <w:spacing w:val="-1"/>
          <w:sz w:val="32"/>
          <w:szCs w:val="32"/>
          <w:highlight w:val="none"/>
        </w:rPr>
        <w:t>（</w:t>
      </w:r>
      <w:r>
        <w:rPr>
          <w:rFonts w:hint="eastAsia" w:ascii="仿宋_GB2312" w:hAnsi="仿宋_GB2312" w:eastAsia="仿宋_GB2312" w:cs="仿宋_GB2312"/>
          <w:spacing w:val="-1"/>
          <w:sz w:val="32"/>
          <w:szCs w:val="32"/>
          <w:highlight w:val="none"/>
          <w:lang w:val="en-US" w:eastAsia="zh-CN"/>
        </w:rPr>
        <w:t>五</w:t>
      </w:r>
      <w:r>
        <w:rPr>
          <w:rFonts w:hint="eastAsia" w:ascii="仿宋_GB2312" w:hAnsi="仿宋_GB2312" w:eastAsia="仿宋_GB2312" w:cs="仿宋_GB2312"/>
          <w:spacing w:val="-1"/>
          <w:sz w:val="32"/>
          <w:szCs w:val="32"/>
          <w:highlight w:val="none"/>
        </w:rPr>
        <w:t>）</w:t>
      </w:r>
      <w:r>
        <w:rPr>
          <w:rFonts w:hint="eastAsia" w:ascii="仿宋_GB2312" w:hAnsi="仿宋_GB2312" w:eastAsia="仿宋_GB2312" w:cs="仿宋_GB2312"/>
          <w:spacing w:val="-1"/>
          <w:sz w:val="32"/>
          <w:szCs w:val="32"/>
        </w:rPr>
        <w:t>各学院可结合学科专业特点与发展目标，明确本学院招生资格审核的科研经费和学术成果具体要求，报研究生招生办公室审核备案后公布执行。各学院确定的招生资格审核条件不低于本办法相关要求。</w:t>
      </w:r>
    </w:p>
    <w:p w14:paraId="1E952CB2">
      <w:pPr>
        <w:pStyle w:val="3"/>
        <w:spacing w:line="560" w:lineRule="exact"/>
        <w:jc w:val="center"/>
        <w:outlineLvl w:val="1"/>
        <w:rPr>
          <w:rFonts w:ascii="仿宋_GB2312" w:hAnsi="仿宋_GB2312" w:eastAsia="仿宋_GB2312" w:cs="仿宋_GB2312"/>
          <w:sz w:val="32"/>
          <w:szCs w:val="32"/>
        </w:rPr>
      </w:pPr>
      <w:r>
        <w:rPr>
          <w:rFonts w:hint="eastAsia" w:ascii="黑体" w:hAnsi="黑体" w:eastAsia="黑体" w:cs="黑体"/>
          <w:b/>
          <w:bCs/>
          <w:sz w:val="32"/>
          <w:szCs w:val="32"/>
        </w:rPr>
        <w:t>第五章  管理与考核</w:t>
      </w:r>
    </w:p>
    <w:p w14:paraId="1D34D758">
      <w:pPr>
        <w:pStyle w:val="3"/>
        <w:spacing w:line="560" w:lineRule="exact"/>
        <w:ind w:firstLine="643" w:firstLineChars="200"/>
        <w:rPr>
          <w:rFonts w:ascii="仿宋_GB2312" w:hAnsi="仿宋_GB2312" w:eastAsia="仿宋_GB2312" w:cs="仿宋_GB2312"/>
          <w:sz w:val="32"/>
          <w:szCs w:val="32"/>
        </w:rPr>
      </w:pPr>
      <w:r>
        <w:rPr>
          <w:rFonts w:hint="eastAsia" w:ascii="黑体" w:hAnsi="黑体" w:eastAsia="黑体" w:cs="黑体"/>
          <w:b/>
          <w:bCs/>
          <w:sz w:val="32"/>
          <w:szCs w:val="32"/>
        </w:rPr>
        <w:t>第十二条</w:t>
      </w:r>
      <w:r>
        <w:rPr>
          <w:rFonts w:hint="eastAsia" w:ascii="仿宋_GB2312" w:hAnsi="仿宋_GB2312" w:eastAsia="仿宋_GB2312" w:cs="仿宋_GB2312"/>
          <w:sz w:val="32"/>
          <w:szCs w:val="32"/>
        </w:rPr>
        <w:t xml:space="preserve">  导师须按照《北京林业大学研究生导师岗位管理办法》的要求履行岗位职责。</w:t>
      </w:r>
    </w:p>
    <w:p w14:paraId="48AEC1DA">
      <w:pPr>
        <w:pStyle w:val="3"/>
        <w:spacing w:line="560" w:lineRule="exact"/>
        <w:ind w:firstLine="643" w:firstLineChars="200"/>
        <w:rPr>
          <w:rFonts w:ascii="仿宋_GB2312" w:hAnsi="仿宋_GB2312" w:eastAsia="仿宋_GB2312" w:cs="仿宋_GB2312"/>
          <w:sz w:val="32"/>
          <w:szCs w:val="32"/>
        </w:rPr>
      </w:pPr>
      <w:r>
        <w:rPr>
          <w:rFonts w:hint="eastAsia" w:ascii="黑体" w:hAnsi="黑体" w:eastAsia="黑体" w:cs="黑体"/>
          <w:b/>
          <w:bCs/>
          <w:sz w:val="32"/>
          <w:szCs w:val="32"/>
        </w:rPr>
        <w:t>第十三条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pacing w:val="-5"/>
          <w:sz w:val="32"/>
          <w:szCs w:val="32"/>
        </w:rPr>
        <w:t>新认定导师必须接受岗前培训，在岗导师每年至少</w:t>
      </w:r>
      <w:r>
        <w:rPr>
          <w:rFonts w:hint="eastAsia" w:ascii="仿宋_GB2312" w:hAnsi="仿宋_GB2312" w:eastAsia="仿宋_GB2312" w:cs="仿宋_GB2312"/>
          <w:spacing w:val="-6"/>
          <w:sz w:val="32"/>
          <w:szCs w:val="32"/>
        </w:rPr>
        <w:t>参加一次培训，</w:t>
      </w:r>
      <w:r>
        <w:rPr>
          <w:rFonts w:hint="eastAsia" w:ascii="仿宋_GB2312" w:hAnsi="仿宋_GB2312" w:eastAsia="仿宋_GB2312" w:cs="仿宋_GB2312"/>
          <w:sz w:val="32"/>
          <w:szCs w:val="32"/>
        </w:rPr>
        <w:t>培训合格之后方可招生。</w:t>
      </w:r>
    </w:p>
    <w:p w14:paraId="2BE5F601">
      <w:pPr>
        <w:spacing w:line="560" w:lineRule="exact"/>
        <w:ind w:firstLine="643" w:firstLineChars="200"/>
        <w:rPr>
          <w:rFonts w:ascii="仿宋_GB2312" w:hAnsi="仿宋_GB2312" w:eastAsia="仿宋_GB2312" w:cs="仿宋_GB2312"/>
          <w:sz w:val="32"/>
          <w:szCs w:val="32"/>
        </w:rPr>
      </w:pPr>
      <w:r>
        <w:rPr>
          <w:rFonts w:hint="eastAsia" w:ascii="黑体" w:hAnsi="黑体" w:eastAsia="黑体" w:cs="黑体"/>
          <w:b/>
          <w:bCs/>
          <w:sz w:val="32"/>
          <w:szCs w:val="32"/>
        </w:rPr>
        <w:t>第十四条</w:t>
      </w:r>
      <w:r>
        <w:rPr>
          <w:rFonts w:hint="eastAsia" w:ascii="仿宋_GB2312" w:hAnsi="仿宋_GB2312" w:eastAsia="仿宋_GB2312" w:cs="仿宋_GB2312"/>
          <w:spacing w:val="-2"/>
          <w:sz w:val="32"/>
          <w:szCs w:val="32"/>
        </w:rPr>
        <w:t xml:space="preserve">  导师调整或增加招生学科专业，需双方学科专业、学院共同同意，在研究生招生办公室备案。在交叉学科招生的导师由交叉学科所在学院负责审核其招生资格。</w:t>
      </w:r>
    </w:p>
    <w:p w14:paraId="20558139">
      <w:pPr>
        <w:pStyle w:val="3"/>
        <w:spacing w:line="560" w:lineRule="exact"/>
        <w:ind w:firstLine="643" w:firstLineChars="200"/>
        <w:rPr>
          <w:rFonts w:ascii="仿宋_GB2312" w:hAnsi="仿宋_GB2312" w:eastAsia="仿宋_GB2312" w:cs="仿宋_GB2312"/>
          <w:sz w:val="32"/>
          <w:szCs w:val="32"/>
        </w:rPr>
      </w:pPr>
      <w:r>
        <w:rPr>
          <w:rFonts w:hint="eastAsia" w:ascii="黑体" w:hAnsi="黑体" w:eastAsia="黑体" w:cs="黑体"/>
          <w:b/>
          <w:bCs/>
          <w:sz w:val="32"/>
          <w:szCs w:val="32"/>
        </w:rPr>
        <w:t>第十五条</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原则上每名导师每年招收全日制博士研究生不超过3人，招收全日制硕士研究生不超过4人。</w:t>
      </w:r>
    </w:p>
    <w:p w14:paraId="2D32A743">
      <w:pPr>
        <w:spacing w:line="560" w:lineRule="exact"/>
        <w:ind w:firstLine="643" w:firstLineChars="200"/>
        <w:rPr>
          <w:rFonts w:ascii="仿宋_GB2312" w:hAnsi="仿宋_GB2312" w:eastAsia="仿宋_GB2312" w:cs="仿宋_GB2312"/>
          <w:sz w:val="32"/>
          <w:szCs w:val="32"/>
        </w:rPr>
      </w:pPr>
      <w:r>
        <w:rPr>
          <w:rFonts w:hint="eastAsia" w:ascii="黑体" w:hAnsi="黑体" w:eastAsia="黑体" w:cs="黑体"/>
          <w:b/>
          <w:bCs/>
          <w:sz w:val="32"/>
          <w:szCs w:val="32"/>
        </w:rPr>
        <w:t>第十六条</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经费及项目均以学校科研系统及财务系统数据或纵向项目立项合同书为准。</w:t>
      </w:r>
    </w:p>
    <w:p w14:paraId="53EA4094">
      <w:pPr>
        <w:pStyle w:val="3"/>
        <w:spacing w:line="560" w:lineRule="exact"/>
        <w:ind w:firstLine="643" w:firstLineChars="200"/>
        <w:outlineLvl w:val="1"/>
        <w:rPr>
          <w:rFonts w:hint="default" w:ascii="仿宋_GB2312" w:hAnsi="仿宋_GB2312" w:eastAsia="仿宋_GB2312" w:cs="仿宋_GB2312"/>
          <w:sz w:val="32"/>
          <w:szCs w:val="32"/>
          <w:lang w:val="en-US" w:eastAsia="zh-CN"/>
        </w:rPr>
      </w:pPr>
      <w:r>
        <w:rPr>
          <w:rFonts w:hint="eastAsia" w:ascii="黑体" w:hAnsi="黑体" w:eastAsia="黑体" w:cs="黑体"/>
          <w:b/>
          <w:bCs/>
          <w:sz w:val="32"/>
          <w:szCs w:val="32"/>
        </w:rPr>
        <w:t>第十七条</w:t>
      </w:r>
      <w:r>
        <w:rPr>
          <w:rFonts w:hint="eastAsia" w:ascii="仿宋_GB2312" w:hAnsi="仿宋_GB2312" w:eastAsia="仿宋_GB2312" w:cs="仿宋_GB2312"/>
          <w:sz w:val="32"/>
          <w:szCs w:val="32"/>
        </w:rPr>
        <w:t xml:space="preserve">  对于未能有效履行岗位职责，出现师德失范、学术不端、实验室安全事故、学位论文抽检“问题论文”等情况，按照学校有关规定进行约谈、限招、停招或取消导师招生资格。对于年度考核基本合格或不合格的导师限招或停招研究生。</w:t>
      </w:r>
    </w:p>
    <w:p w14:paraId="5E43BE13">
      <w:pPr>
        <w:spacing w:line="560" w:lineRule="exact"/>
        <w:jc w:val="center"/>
        <w:outlineLvl w:val="0"/>
        <w:rPr>
          <w:rFonts w:ascii="黑体" w:hAnsi="黑体" w:eastAsia="黑体" w:cs="黑体"/>
          <w:b/>
          <w:bCs/>
          <w:sz w:val="32"/>
          <w:szCs w:val="32"/>
        </w:rPr>
      </w:pPr>
      <w:bookmarkStart w:id="7" w:name="_Toc20565"/>
      <w:bookmarkStart w:id="8" w:name="_Toc16419"/>
      <w:r>
        <w:rPr>
          <w:rFonts w:hint="eastAsia" w:ascii="黑体" w:hAnsi="黑体" w:eastAsia="黑体" w:cs="黑体"/>
          <w:b/>
          <w:bCs/>
          <w:spacing w:val="-1"/>
          <w:sz w:val="32"/>
          <w:szCs w:val="32"/>
        </w:rPr>
        <w:t>第六章  附则</w:t>
      </w:r>
      <w:bookmarkEnd w:id="7"/>
      <w:bookmarkEnd w:id="8"/>
    </w:p>
    <w:p w14:paraId="5E0FD3E8">
      <w:pPr>
        <w:numPr>
          <w:ilvl w:val="255"/>
          <w:numId w:val="0"/>
        </w:numPr>
        <w:spacing w:line="560" w:lineRule="exact"/>
        <w:ind w:firstLine="643" w:firstLineChars="200"/>
        <w:jc w:val="left"/>
        <w:rPr>
          <w:rFonts w:hint="eastAsia" w:ascii="仿宋_GB2312" w:hAnsi="仿宋_GB2312" w:eastAsia="仿宋_GB2312" w:cs="仿宋_GB2312"/>
          <w:sz w:val="32"/>
          <w:szCs w:val="32"/>
        </w:rPr>
      </w:pPr>
      <w:r>
        <w:rPr>
          <w:rFonts w:hint="eastAsia" w:ascii="黑体" w:hAnsi="黑体" w:eastAsia="黑体" w:cs="黑体"/>
          <w:b/>
          <w:bCs/>
          <w:sz w:val="32"/>
          <w:szCs w:val="32"/>
        </w:rPr>
        <w:t>第十八条</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本规定由研究生院负责解释，自公布之日起执行，原《北京林业大学研究生导师遴选办法》（北林研发</w:t>
      </w:r>
      <w:r>
        <w:rPr>
          <w:rFonts w:hint="eastAsia" w:ascii="仿宋_GB2312" w:hAnsi="仿宋_GB2312" w:eastAsia="仿宋_GB2312" w:cs="仿宋_GB2312"/>
          <w:spacing w:val="-1"/>
          <w:sz w:val="32"/>
          <w:szCs w:val="32"/>
        </w:rPr>
        <w:t>〔2020〕12号</w:t>
      </w:r>
      <w:r>
        <w:rPr>
          <w:rFonts w:hint="eastAsia" w:ascii="仿宋_GB2312" w:hAnsi="仿宋_GB2312" w:eastAsia="仿宋_GB2312" w:cs="仿宋_GB2312"/>
          <w:sz w:val="32"/>
          <w:szCs w:val="32"/>
        </w:rPr>
        <w:t>）《北京林业大学研究生导师招生资格年度</w:t>
      </w:r>
      <w:bookmarkStart w:id="9" w:name="_Toc531713605"/>
      <w:r>
        <w:rPr>
          <w:rFonts w:hint="eastAsia" w:ascii="仿宋_GB2312" w:hAnsi="仿宋_GB2312" w:eastAsia="仿宋_GB2312" w:cs="仿宋_GB2312"/>
          <w:sz w:val="32"/>
          <w:szCs w:val="32"/>
        </w:rPr>
        <w:t>审核管理办法</w:t>
      </w:r>
      <w:bookmarkEnd w:id="9"/>
      <w:r>
        <w:rPr>
          <w:rFonts w:hint="eastAsia" w:ascii="仿宋_GB2312" w:hAnsi="仿宋_GB2312" w:eastAsia="仿宋_GB2312" w:cs="仿宋_GB2312"/>
          <w:sz w:val="32"/>
          <w:szCs w:val="32"/>
        </w:rPr>
        <w:t>》（北林</w:t>
      </w:r>
      <w:bookmarkStart w:id="10" w:name="OLE_LINK3"/>
      <w:bookmarkStart w:id="11" w:name="OLE_LINK4"/>
      <w:r>
        <w:rPr>
          <w:rFonts w:hint="eastAsia" w:ascii="仿宋_GB2312" w:hAnsi="仿宋_GB2312" w:eastAsia="仿宋_GB2312" w:cs="仿宋_GB2312"/>
          <w:sz w:val="32"/>
          <w:szCs w:val="32"/>
        </w:rPr>
        <w:t>研发〔2019〕27号</w:t>
      </w:r>
      <w:bookmarkEnd w:id="10"/>
      <w:bookmarkEnd w:id="11"/>
      <w:r>
        <w:rPr>
          <w:rFonts w:hint="eastAsia" w:ascii="仿宋_GB2312" w:hAnsi="仿宋_GB2312" w:eastAsia="仿宋_GB2312" w:cs="仿宋_GB2312"/>
          <w:sz w:val="32"/>
          <w:szCs w:val="32"/>
        </w:rPr>
        <w:t>）文件</w:t>
      </w:r>
      <w:r>
        <w:rPr>
          <w:rFonts w:hint="eastAsia" w:ascii="仿宋_GB2312" w:hAnsi="仿宋_GB2312" w:eastAsia="仿宋_GB2312" w:cs="仿宋_GB2312"/>
          <w:sz w:val="32"/>
          <w:szCs w:val="32"/>
          <w:lang w:val="en-US" w:eastAsia="zh-CN"/>
        </w:rPr>
        <w:t>同时</w:t>
      </w:r>
      <w:r>
        <w:rPr>
          <w:rFonts w:hint="eastAsia" w:ascii="仿宋_GB2312" w:hAnsi="仿宋_GB2312" w:eastAsia="仿宋_GB2312" w:cs="仿宋_GB2312"/>
          <w:sz w:val="32"/>
          <w:szCs w:val="32"/>
        </w:rPr>
        <w:t>废止。</w:t>
      </w:r>
    </w:p>
    <w:p w14:paraId="51DCB362">
      <w:pPr>
        <w:numPr>
          <w:ilvl w:val="255"/>
          <w:numId w:val="0"/>
        </w:numPr>
        <w:spacing w:line="560" w:lineRule="exact"/>
        <w:ind w:firstLine="640" w:firstLineChars="200"/>
        <w:jc w:val="left"/>
        <w:rPr>
          <w:rFonts w:hint="eastAsia" w:ascii="仿宋_GB2312" w:hAnsi="仿宋_GB2312" w:eastAsia="仿宋_GB2312" w:cs="仿宋_GB2312"/>
          <w:sz w:val="32"/>
          <w:szCs w:val="32"/>
        </w:rPr>
      </w:pPr>
    </w:p>
    <w:p w14:paraId="7921B900">
      <w:pPr>
        <w:numPr>
          <w:ilvl w:val="255"/>
          <w:numId w:val="0"/>
        </w:numPr>
        <w:spacing w:line="560" w:lineRule="exact"/>
        <w:ind w:firstLine="640" w:firstLineChars="200"/>
        <w:jc w:val="left"/>
        <w:rPr>
          <w:rFonts w:hint="eastAsia" w:ascii="仿宋_GB2312" w:hAnsi="仿宋_GB2312" w:eastAsia="仿宋_GB2312" w:cs="仿宋_GB2312"/>
          <w:sz w:val="32"/>
          <w:szCs w:val="32"/>
        </w:rPr>
      </w:pPr>
    </w:p>
    <w:p w14:paraId="3C7FFB38">
      <w:pPr>
        <w:numPr>
          <w:ilvl w:val="255"/>
          <w:numId w:val="0"/>
        </w:numPr>
        <w:spacing w:line="560" w:lineRule="exact"/>
        <w:ind w:firstLine="640" w:firstLineChars="200"/>
        <w:jc w:val="left"/>
        <w:rPr>
          <w:rFonts w:hint="eastAsia" w:ascii="仿宋_GB2312" w:hAnsi="仿宋_GB2312" w:eastAsia="仿宋_GB2312" w:cs="仿宋_GB2312"/>
          <w:sz w:val="32"/>
          <w:szCs w:val="32"/>
        </w:rPr>
      </w:pPr>
    </w:p>
    <w:p w14:paraId="55EBA49A">
      <w:pPr>
        <w:numPr>
          <w:ilvl w:val="255"/>
          <w:numId w:val="0"/>
        </w:numPr>
        <w:spacing w:line="560" w:lineRule="exact"/>
        <w:ind w:firstLine="640" w:firstLineChars="20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北京林业大学</w:t>
      </w:r>
    </w:p>
    <w:p w14:paraId="195D1C52">
      <w:pPr>
        <w:numPr>
          <w:ilvl w:val="255"/>
          <w:numId w:val="0"/>
        </w:numPr>
        <w:spacing w:line="560" w:lineRule="exact"/>
        <w:ind w:firstLine="640" w:firstLineChars="200"/>
        <w:jc w:val="righ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2025年10月31日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C83209A-A58A-4A77-B6E8-A40A836C72B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2" w:fontKey="{0CED69BD-0036-48D0-8D47-3193EF9B8526}"/>
  </w:font>
  <w:font w:name="小标宋">
    <w:panose1 w:val="03000509000000000000"/>
    <w:charset w:val="86"/>
    <w:family w:val="auto"/>
    <w:pitch w:val="default"/>
    <w:sig w:usb0="00000001" w:usb1="080E0000" w:usb2="00000000" w:usb3="00000000" w:csb0="00040000" w:csb1="00000000"/>
    <w:embedRegular r:id="rId3" w:fontKey="{68151288-82B3-4A21-99A9-B87861DB9ED4}"/>
  </w:font>
  <w:font w:name="仿宋_GB2312">
    <w:panose1 w:val="02010609030101010101"/>
    <w:charset w:val="86"/>
    <w:family w:val="auto"/>
    <w:pitch w:val="default"/>
    <w:sig w:usb0="00000001" w:usb1="080E0000" w:usb2="00000000" w:usb3="00000000" w:csb0="00040000" w:csb1="00000000"/>
    <w:embedRegular r:id="rId4" w:fontKey="{E9202980-9CC3-46A0-BEC2-2546084799A1}"/>
  </w:font>
  <w:font w:name="仿宋">
    <w:panose1 w:val="02010609060101010101"/>
    <w:charset w:val="86"/>
    <w:family w:val="modern"/>
    <w:pitch w:val="default"/>
    <w:sig w:usb0="800002BF" w:usb1="38CF7CFA" w:usb2="00000016" w:usb3="00000000" w:csb0="00040001" w:csb1="00000000"/>
    <w:embedRegular r:id="rId5" w:fontKey="{F289DD68-0439-49A0-BA2D-B35EE2A0473F}"/>
  </w:font>
  <w:font w:name="微软雅黑">
    <w:panose1 w:val="020B0503020204020204"/>
    <w:charset w:val="86"/>
    <w:family w:val="swiss"/>
    <w:pitch w:val="default"/>
    <w:sig w:usb0="80000287" w:usb1="2ACF3C50" w:usb2="00000016" w:usb3="00000000" w:csb0="0004001F" w:csb1="00000000"/>
    <w:embedRegular r:id="rId6" w:fontKey="{6E3F59E1-C728-4951-9D33-CACEC9FB47BF}"/>
  </w:font>
  <w:font w:name="___WRD_EMBED_SUB_42">
    <w:altName w:val="等线"/>
    <w:panose1 w:val="00000000000000000000"/>
    <w:charset w:val="86"/>
    <w:family w:val="auto"/>
    <w:pitch w:val="default"/>
    <w:sig w:usb0="00000000" w:usb1="00000000" w:usb2="00000000" w:usb3="00000000" w:csb0="00040000" w:csb1="00000000"/>
    <w:embedRegular r:id="rId7" w:fontKey="{ABF30CAC-8F72-4BC7-B92B-69002BD99E3C}"/>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embedRegular r:id="rId8" w:fontKey="{9625F740-2339-4351-860C-EDE7C7000C3D}"/>
  </w:font>
  <w:font w:name="华文楷体">
    <w:panose1 w:val="02010600040101010101"/>
    <w:charset w:val="86"/>
    <w:family w:val="auto"/>
    <w:pitch w:val="default"/>
    <w:sig w:usb0="00000287" w:usb1="080F0000" w:usb2="00000000" w:usb3="00000000" w:csb0="0004009F" w:csb1="DFD70000"/>
    <w:embedRegular r:id="rId9" w:fontKey="{BC96233C-BDE7-4101-AEB0-283393ED502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ExZTdjNGRhMzIwZjBkN2RjNmIyNzVjYmEyOWVjZTQifQ=="/>
  </w:docVars>
  <w:rsids>
    <w:rsidRoot w:val="71D666C3"/>
    <w:rsid w:val="000556AF"/>
    <w:rsid w:val="00070F97"/>
    <w:rsid w:val="000772D6"/>
    <w:rsid w:val="000837D8"/>
    <w:rsid w:val="00117466"/>
    <w:rsid w:val="00141056"/>
    <w:rsid w:val="001A7217"/>
    <w:rsid w:val="001D1159"/>
    <w:rsid w:val="001E7E79"/>
    <w:rsid w:val="00203393"/>
    <w:rsid w:val="0022108F"/>
    <w:rsid w:val="002B5AFB"/>
    <w:rsid w:val="002E2272"/>
    <w:rsid w:val="002E6861"/>
    <w:rsid w:val="00310161"/>
    <w:rsid w:val="00323702"/>
    <w:rsid w:val="003241C0"/>
    <w:rsid w:val="00355324"/>
    <w:rsid w:val="00390D7C"/>
    <w:rsid w:val="00440F4C"/>
    <w:rsid w:val="00446A25"/>
    <w:rsid w:val="00475F15"/>
    <w:rsid w:val="004A4459"/>
    <w:rsid w:val="004F41DC"/>
    <w:rsid w:val="005112EE"/>
    <w:rsid w:val="0052690A"/>
    <w:rsid w:val="00527FF5"/>
    <w:rsid w:val="00546144"/>
    <w:rsid w:val="00566F87"/>
    <w:rsid w:val="005C7947"/>
    <w:rsid w:val="00616690"/>
    <w:rsid w:val="006342C8"/>
    <w:rsid w:val="00640A67"/>
    <w:rsid w:val="00660051"/>
    <w:rsid w:val="006A1215"/>
    <w:rsid w:val="00717BED"/>
    <w:rsid w:val="007205B1"/>
    <w:rsid w:val="008531E2"/>
    <w:rsid w:val="00856456"/>
    <w:rsid w:val="008706F0"/>
    <w:rsid w:val="00880824"/>
    <w:rsid w:val="008844B1"/>
    <w:rsid w:val="008B5AFE"/>
    <w:rsid w:val="00922237"/>
    <w:rsid w:val="00986851"/>
    <w:rsid w:val="009D5F77"/>
    <w:rsid w:val="009E6CD2"/>
    <w:rsid w:val="009F293B"/>
    <w:rsid w:val="00A402A2"/>
    <w:rsid w:val="00A53149"/>
    <w:rsid w:val="00A56A98"/>
    <w:rsid w:val="00A56BB4"/>
    <w:rsid w:val="00AB7C3F"/>
    <w:rsid w:val="00AC65A5"/>
    <w:rsid w:val="00B264EB"/>
    <w:rsid w:val="00B50AF9"/>
    <w:rsid w:val="00B518B3"/>
    <w:rsid w:val="00B77522"/>
    <w:rsid w:val="00B802F8"/>
    <w:rsid w:val="00BC7084"/>
    <w:rsid w:val="00BF154B"/>
    <w:rsid w:val="00BF75FE"/>
    <w:rsid w:val="00C43CA8"/>
    <w:rsid w:val="00D24565"/>
    <w:rsid w:val="00D44E68"/>
    <w:rsid w:val="00D631D4"/>
    <w:rsid w:val="00D807D6"/>
    <w:rsid w:val="00D82DF7"/>
    <w:rsid w:val="00D86B8B"/>
    <w:rsid w:val="00DA0C67"/>
    <w:rsid w:val="00DC5A39"/>
    <w:rsid w:val="00E1291B"/>
    <w:rsid w:val="00E23E57"/>
    <w:rsid w:val="00E40229"/>
    <w:rsid w:val="00E640A6"/>
    <w:rsid w:val="00F8304A"/>
    <w:rsid w:val="00F831F7"/>
    <w:rsid w:val="00FB15D3"/>
    <w:rsid w:val="017D31AE"/>
    <w:rsid w:val="03072446"/>
    <w:rsid w:val="030D0D5F"/>
    <w:rsid w:val="0441472A"/>
    <w:rsid w:val="09CB6C98"/>
    <w:rsid w:val="0ACD56D0"/>
    <w:rsid w:val="0BD118D6"/>
    <w:rsid w:val="0D3B61A6"/>
    <w:rsid w:val="0D6F6CAA"/>
    <w:rsid w:val="0D9D78D8"/>
    <w:rsid w:val="0DF16061"/>
    <w:rsid w:val="19EF3555"/>
    <w:rsid w:val="1AAE2344"/>
    <w:rsid w:val="1AC75042"/>
    <w:rsid w:val="1B6A29EC"/>
    <w:rsid w:val="1BC76C65"/>
    <w:rsid w:val="1CA53161"/>
    <w:rsid w:val="1D632E00"/>
    <w:rsid w:val="20D325A1"/>
    <w:rsid w:val="2298422F"/>
    <w:rsid w:val="23BA17F4"/>
    <w:rsid w:val="261E645E"/>
    <w:rsid w:val="26BF7D64"/>
    <w:rsid w:val="27315D1D"/>
    <w:rsid w:val="29DA2FE3"/>
    <w:rsid w:val="2ABD7D89"/>
    <w:rsid w:val="2BB26C5E"/>
    <w:rsid w:val="2DF87B85"/>
    <w:rsid w:val="2EC8784D"/>
    <w:rsid w:val="31953E4B"/>
    <w:rsid w:val="31A31F22"/>
    <w:rsid w:val="323A55C9"/>
    <w:rsid w:val="32EF3921"/>
    <w:rsid w:val="33632AB4"/>
    <w:rsid w:val="33D30D10"/>
    <w:rsid w:val="351C694C"/>
    <w:rsid w:val="35373F4C"/>
    <w:rsid w:val="354449FE"/>
    <w:rsid w:val="354C0D0F"/>
    <w:rsid w:val="36EF52AD"/>
    <w:rsid w:val="375C465D"/>
    <w:rsid w:val="37D432C6"/>
    <w:rsid w:val="381735C9"/>
    <w:rsid w:val="3A7229BA"/>
    <w:rsid w:val="3AA96DBA"/>
    <w:rsid w:val="3B8B2F7F"/>
    <w:rsid w:val="3BDC5F30"/>
    <w:rsid w:val="3ED5122D"/>
    <w:rsid w:val="3F811C48"/>
    <w:rsid w:val="4054168E"/>
    <w:rsid w:val="437B09CF"/>
    <w:rsid w:val="460A6ADF"/>
    <w:rsid w:val="46ED469E"/>
    <w:rsid w:val="4B5C36A5"/>
    <w:rsid w:val="4D49415A"/>
    <w:rsid w:val="4F9F2D65"/>
    <w:rsid w:val="578C5AC2"/>
    <w:rsid w:val="58EF7C53"/>
    <w:rsid w:val="5A2C3CBA"/>
    <w:rsid w:val="5E051771"/>
    <w:rsid w:val="5F4973A1"/>
    <w:rsid w:val="62830793"/>
    <w:rsid w:val="63B73B1A"/>
    <w:rsid w:val="65115EE0"/>
    <w:rsid w:val="652A56E6"/>
    <w:rsid w:val="65C90010"/>
    <w:rsid w:val="6A9278FF"/>
    <w:rsid w:val="6B042B9E"/>
    <w:rsid w:val="6CCB559D"/>
    <w:rsid w:val="6EFD5AB2"/>
    <w:rsid w:val="708E2E66"/>
    <w:rsid w:val="713E488C"/>
    <w:rsid w:val="71D666C3"/>
    <w:rsid w:val="71DE0078"/>
    <w:rsid w:val="736025B3"/>
    <w:rsid w:val="73E63C02"/>
    <w:rsid w:val="746D7D3A"/>
    <w:rsid w:val="75E678FD"/>
    <w:rsid w:val="78B15E8F"/>
    <w:rsid w:val="79383E08"/>
    <w:rsid w:val="7C7367A9"/>
    <w:rsid w:val="7D1F5C67"/>
    <w:rsid w:val="7DA05E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qFormat/>
    <w:uiPriority w:val="0"/>
    <w:pPr>
      <w:jc w:val="left"/>
    </w:pPr>
  </w:style>
  <w:style w:type="paragraph" w:styleId="3">
    <w:name w:val="Body Text"/>
    <w:basedOn w:val="1"/>
    <w:semiHidden/>
    <w:qFormat/>
    <w:uiPriority w:val="0"/>
    <w:rPr>
      <w:rFonts w:ascii="宋体" w:hAnsi="宋体" w:eastAsia="宋体" w:cs="宋体"/>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paragraph" w:styleId="7">
    <w:name w:val="annotation subject"/>
    <w:basedOn w:val="2"/>
    <w:next w:val="2"/>
    <w:link w:val="16"/>
    <w:qFormat/>
    <w:uiPriority w:val="0"/>
    <w:rPr>
      <w:b/>
      <w:bCs/>
    </w:rPr>
  </w:style>
  <w:style w:type="character" w:styleId="10">
    <w:name w:val="annotation reference"/>
    <w:basedOn w:val="9"/>
    <w:qFormat/>
    <w:uiPriority w:val="0"/>
    <w:rPr>
      <w:sz w:val="21"/>
      <w:szCs w:val="21"/>
    </w:rPr>
  </w:style>
  <w:style w:type="paragraph" w:customStyle="1" w:styleId="11">
    <w:name w:val="修订1"/>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12">
    <w:name w:val="页眉 字符"/>
    <w:basedOn w:val="9"/>
    <w:link w:val="5"/>
    <w:qFormat/>
    <w:uiPriority w:val="0"/>
    <w:rPr>
      <w:kern w:val="2"/>
      <w:sz w:val="18"/>
      <w:szCs w:val="18"/>
    </w:rPr>
  </w:style>
  <w:style w:type="character" w:customStyle="1" w:styleId="13">
    <w:name w:val="页脚 字符"/>
    <w:basedOn w:val="9"/>
    <w:link w:val="4"/>
    <w:qFormat/>
    <w:uiPriority w:val="0"/>
    <w:rPr>
      <w:kern w:val="2"/>
      <w:sz w:val="18"/>
      <w:szCs w:val="18"/>
    </w:rPr>
  </w:style>
  <w:style w:type="paragraph" w:customStyle="1" w:styleId="14">
    <w:name w:val="修订2"/>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15">
    <w:name w:val="批注文字 字符"/>
    <w:basedOn w:val="9"/>
    <w:link w:val="2"/>
    <w:qFormat/>
    <w:uiPriority w:val="0"/>
    <w:rPr>
      <w:kern w:val="2"/>
      <w:sz w:val="21"/>
      <w:szCs w:val="22"/>
    </w:rPr>
  </w:style>
  <w:style w:type="character" w:customStyle="1" w:styleId="16">
    <w:name w:val="批注主题 字符"/>
    <w:basedOn w:val="15"/>
    <w:link w:val="7"/>
    <w:qFormat/>
    <w:uiPriority w:val="0"/>
    <w:rPr>
      <w:b/>
      <w:bCs/>
      <w:kern w:val="2"/>
      <w:sz w:val="21"/>
      <w:szCs w:val="22"/>
    </w:rPr>
  </w:style>
  <w:style w:type="paragraph" w:customStyle="1" w:styleId="17">
    <w:name w:val="修订3"/>
    <w:hidden/>
    <w:unhideWhenUsed/>
    <w:qFormat/>
    <w:uiPriority w:val="99"/>
    <w:rPr>
      <w:rFonts w:asciiTheme="minorHAnsi" w:hAnsiTheme="minorHAnsi" w:eastAsiaTheme="minorEastAsia" w:cstheme="minorBidi"/>
      <w:kern w:val="2"/>
      <w:sz w:val="21"/>
      <w:szCs w:val="22"/>
      <w:lang w:val="en-US" w:eastAsia="zh-CN" w:bidi="ar-SA"/>
    </w:rPr>
  </w:style>
  <w:style w:type="paragraph" w:styleId="18">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2269</Words>
  <Characters>2299</Characters>
  <Lines>17</Lines>
  <Paragraphs>4</Paragraphs>
  <TotalTime>7</TotalTime>
  <ScaleCrop>false</ScaleCrop>
  <LinksUpToDate>false</LinksUpToDate>
  <CharactersWithSpaces>2380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2025-09-09T07:28:00Z</dcterms:created>
  <dc:creator>龙霄</dc:creator>
  <cp:lastModifiedBy>龙霄</cp:lastModifiedBy>
  <cp:lastPrinted>2025-11-03T00:58:44Z</cp:lastPrinted>
  <dcterms:modified xsi:type="dcterms:W3CDTF">2025-11-03T00:59:45Z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D409CD7FC91C4338B421D8CED2DD777F_13</vt:lpwstr>
  </property>
  <property fmtid="{D5CDD505-2E9C-101B-9397-08002B2CF9AE}" pid="4" name="KSOTemplateDocerSaveRecord">
    <vt:lpwstr>eyJoZGlkIjoiYzg4OTg4NDNlMGExMzAyMGJiYWE2YjIwNmYzMTA0NGIiLCJ1c2VySWQiOiIxNzUxOTY0MjgzIn0=</vt:lpwstr>
  </property>
</Properties>
</file>